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7A7D48" w:rsidRDefault="007A7D48" w:rsidP="007A7D48">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D42A54">
        <w:rPr>
          <w:rFonts w:ascii="Arial" w:hAnsi="Arial" w:cs="Arial"/>
          <w:sz w:val="32"/>
        </w:rPr>
        <w:t>Outubro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D42A54">
        <w:rPr>
          <w:rFonts w:ascii="Arial" w:hAnsi="Arial" w:cs="Arial"/>
          <w:b/>
        </w:rPr>
        <w:t>Outubro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D42A54" w:rsidP="00D42A5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Outu</w:t>
            </w:r>
            <w:r w:rsidR="0070144E">
              <w:rPr>
                <w:rFonts w:ascii="Arial" w:eastAsia="Times New Roman" w:hAnsi="Arial" w:cs="Arial"/>
                <w:color w:val="000000"/>
                <w:lang w:eastAsia="pt-BR"/>
              </w:rPr>
              <w:t>bro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D42A54"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61</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D42A5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D42A54">
              <w:rPr>
                <w:rFonts w:ascii="Arial" w:eastAsia="Times New Roman" w:hAnsi="Arial" w:cs="Arial"/>
                <w:color w:val="000000"/>
                <w:lang w:eastAsia="pt-BR"/>
              </w:rPr>
              <w:t>22</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D42A54"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81</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D42A5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w:t>
            </w:r>
            <w:r w:rsidR="00D42A54">
              <w:rPr>
                <w:rFonts w:ascii="Arial" w:eastAsia="Times New Roman" w:hAnsi="Arial" w:cs="Arial"/>
                <w:color w:val="000000"/>
                <w:lang w:eastAsia="pt-BR"/>
              </w:rPr>
              <w:t>6</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0A42D8"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142</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4811F0"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A42D8">
              <w:rPr>
                <w:rFonts w:ascii="Arial" w:eastAsia="Times New Roman" w:hAnsi="Arial" w:cs="Arial"/>
                <w:color w:val="000000"/>
                <w:lang w:eastAsia="pt-BR"/>
              </w:rPr>
              <w:t>18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D42A54"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764</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D42A54"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98</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D42A54">
        <w:rPr>
          <w:rFonts w:ascii="Arial" w:hAnsi="Arial" w:cs="Arial"/>
          <w:b/>
        </w:rPr>
        <w:t>Outu</w:t>
      </w:r>
      <w:r w:rsidR="00E7365C">
        <w:rPr>
          <w:rFonts w:ascii="Arial" w:hAnsi="Arial" w:cs="Arial"/>
          <w:b/>
        </w:rPr>
        <w:t>bro</w:t>
      </w:r>
      <w:r w:rsidR="0058035F">
        <w:rPr>
          <w:rFonts w:ascii="Arial" w:hAnsi="Arial" w:cs="Arial"/>
          <w:b/>
        </w:rPr>
        <w:t>/</w:t>
      </w:r>
      <w:r w:rsidRPr="00A549A2">
        <w:rPr>
          <w:rFonts w:ascii="Arial" w:hAnsi="Arial" w:cs="Arial"/>
          <w:b/>
        </w:rPr>
        <w:t>201</w:t>
      </w:r>
      <w:r w:rsidR="00E7365C">
        <w:rPr>
          <w:rFonts w:ascii="Arial" w:hAnsi="Arial" w:cs="Arial"/>
          <w:b/>
        </w:rPr>
        <w:t>8</w:t>
      </w:r>
    </w:p>
    <w:p w:rsidR="00D42A54" w:rsidRDefault="00D42A54"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4150F0A3" wp14:editId="177EC12D">
            <wp:extent cx="6132444" cy="1570383"/>
            <wp:effectExtent l="0" t="0" r="190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936963"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936963">
        <w:rPr>
          <w:rFonts w:ascii="Arial" w:hAnsi="Arial" w:cs="Arial"/>
          <w:color w:val="000000" w:themeColor="text1"/>
          <w:szCs w:val="24"/>
        </w:rPr>
        <w:t>Registra-se que as saídas no núcleo de internação atingiram 102%</w:t>
      </w:r>
      <w:r w:rsidR="00DD64A3" w:rsidRPr="00936963">
        <w:rPr>
          <w:rFonts w:ascii="Arial" w:hAnsi="Arial" w:cs="Arial"/>
          <w:color w:val="000000" w:themeColor="text1"/>
          <w:szCs w:val="24"/>
        </w:rPr>
        <w:t xml:space="preserve"> em relação </w:t>
      </w:r>
      <w:proofErr w:type="gramStart"/>
      <w:r w:rsidR="00DD64A3" w:rsidRPr="00936963">
        <w:rPr>
          <w:rFonts w:ascii="Arial" w:hAnsi="Arial" w:cs="Arial"/>
          <w:color w:val="000000" w:themeColor="text1"/>
          <w:szCs w:val="24"/>
        </w:rPr>
        <w:t>a</w:t>
      </w:r>
      <w:proofErr w:type="gramEnd"/>
      <w:r w:rsidR="00DD64A3" w:rsidRPr="00936963">
        <w:rPr>
          <w:rFonts w:ascii="Arial" w:hAnsi="Arial" w:cs="Arial"/>
          <w:color w:val="000000" w:themeColor="text1"/>
          <w:szCs w:val="24"/>
        </w:rPr>
        <w:t xml:space="preserve"> meta, as saídas da casa de apoio atingiram 111%.</w:t>
      </w:r>
    </w:p>
    <w:p w:rsidR="00DD64A3" w:rsidRPr="00936963" w:rsidRDefault="00932ACF" w:rsidP="00932ACF">
      <w:pPr>
        <w:tabs>
          <w:tab w:val="left" w:pos="567"/>
        </w:tabs>
        <w:spacing w:after="0" w:line="360" w:lineRule="auto"/>
        <w:jc w:val="both"/>
        <w:rPr>
          <w:rFonts w:ascii="Arial" w:hAnsi="Arial" w:cs="Arial"/>
          <w:color w:val="000000" w:themeColor="text1"/>
          <w:szCs w:val="24"/>
        </w:rPr>
      </w:pPr>
      <w:r w:rsidRPr="00936963">
        <w:rPr>
          <w:rFonts w:ascii="Arial" w:hAnsi="Arial" w:cs="Arial"/>
          <w:color w:val="000000" w:themeColor="text1"/>
          <w:szCs w:val="24"/>
        </w:rPr>
        <w:tab/>
      </w:r>
      <w:r w:rsidR="00DD64A3" w:rsidRPr="00936963">
        <w:rPr>
          <w:rFonts w:ascii="Arial" w:hAnsi="Arial" w:cs="Arial"/>
          <w:color w:val="000000" w:themeColor="text1"/>
          <w:szCs w:val="24"/>
        </w:rPr>
        <w:t>O percentual atingido no período para esta indicador foi de 108% conforme demonstrado no quadro de metas de produção.</w:t>
      </w:r>
    </w:p>
    <w:p w:rsidR="00DD64A3" w:rsidRPr="00936963" w:rsidRDefault="004759B0" w:rsidP="00932ACF">
      <w:pPr>
        <w:tabs>
          <w:tab w:val="left" w:pos="567"/>
        </w:tabs>
        <w:spacing w:after="0" w:line="360" w:lineRule="auto"/>
        <w:jc w:val="both"/>
        <w:rPr>
          <w:rFonts w:ascii="Arial" w:hAnsi="Arial" w:cs="Arial"/>
          <w:color w:val="000000" w:themeColor="text1"/>
          <w:szCs w:val="24"/>
        </w:rPr>
      </w:pPr>
      <w:r w:rsidRPr="00936963">
        <w:rPr>
          <w:rFonts w:ascii="Arial" w:hAnsi="Arial" w:cs="Arial"/>
          <w:color w:val="000000" w:themeColor="text1"/>
          <w:szCs w:val="24"/>
        </w:rPr>
        <w:tab/>
      </w:r>
      <w:r w:rsidR="00DD64A3" w:rsidRPr="00936963">
        <w:rPr>
          <w:rFonts w:ascii="Arial" w:hAnsi="Arial" w:cs="Arial"/>
          <w:color w:val="000000" w:themeColor="text1"/>
          <w:szCs w:val="24"/>
        </w:rPr>
        <w:t xml:space="preserve">Para o próximo período, será dada a continuidade aos planos de ação, que visam </w:t>
      </w:r>
      <w:proofErr w:type="gramStart"/>
      <w:r w:rsidR="00DD64A3" w:rsidRPr="00936963">
        <w:rPr>
          <w:rFonts w:ascii="Arial" w:hAnsi="Arial" w:cs="Arial"/>
          <w:color w:val="000000" w:themeColor="text1"/>
          <w:szCs w:val="24"/>
        </w:rPr>
        <w:t>a</w:t>
      </w:r>
      <w:proofErr w:type="gramEnd"/>
      <w:r w:rsidR="00DD64A3" w:rsidRPr="00936963">
        <w:rPr>
          <w:rFonts w:ascii="Arial" w:hAnsi="Arial" w:cs="Arial"/>
          <w:color w:val="000000" w:themeColor="text1"/>
          <w:szCs w:val="24"/>
        </w:rPr>
        <w:t xml:space="preserve"> redução do tempo de permanência dos paciente</w:t>
      </w:r>
      <w:r w:rsidRPr="00936963">
        <w:rPr>
          <w:rFonts w:ascii="Arial" w:hAnsi="Arial" w:cs="Arial"/>
          <w:color w:val="000000" w:themeColor="text1"/>
          <w:szCs w:val="24"/>
        </w:rPr>
        <w:t>s</w:t>
      </w:r>
      <w:r w:rsidR="00DD64A3" w:rsidRPr="00936963">
        <w:rPr>
          <w:rFonts w:ascii="Arial" w:hAnsi="Arial" w:cs="Arial"/>
          <w:color w:val="000000" w:themeColor="text1"/>
          <w:szCs w:val="24"/>
        </w:rPr>
        <w:t xml:space="preserve"> na unidade hospitalar, </w:t>
      </w:r>
      <w:r w:rsidR="00025C7B" w:rsidRPr="00936963">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936963" w:rsidRDefault="00025C7B" w:rsidP="00932ACF">
      <w:pPr>
        <w:tabs>
          <w:tab w:val="left" w:pos="567"/>
        </w:tabs>
        <w:spacing w:after="0" w:line="360" w:lineRule="auto"/>
        <w:jc w:val="both"/>
        <w:rPr>
          <w:rFonts w:ascii="Arial" w:hAnsi="Arial" w:cs="Arial"/>
          <w:color w:val="000000" w:themeColor="text1"/>
          <w:szCs w:val="24"/>
        </w:rPr>
      </w:pPr>
      <w:r w:rsidRPr="00936963">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Pr="00936963" w:rsidRDefault="003232EA" w:rsidP="00224379">
      <w:pPr>
        <w:spacing w:after="0"/>
        <w:jc w:val="both"/>
        <w:rPr>
          <w:rFonts w:ascii="Arial" w:hAnsi="Arial" w:cs="Arial"/>
          <w:color w:val="000000" w:themeColor="text1"/>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D42A54">
        <w:rPr>
          <w:rFonts w:ascii="Arial" w:hAnsi="Arial" w:cs="Arial"/>
          <w:b/>
        </w:rPr>
        <w:t>Outubro</w:t>
      </w:r>
      <w:r w:rsidRPr="00A549A2">
        <w:rPr>
          <w:rFonts w:ascii="Arial" w:hAnsi="Arial" w:cs="Arial"/>
          <w:b/>
        </w:rPr>
        <w:t>/201</w:t>
      </w:r>
      <w:r w:rsidR="00AD0428">
        <w:rPr>
          <w:rFonts w:ascii="Arial" w:hAnsi="Arial" w:cs="Arial"/>
          <w:b/>
        </w:rPr>
        <w:t>8</w:t>
      </w:r>
    </w:p>
    <w:p w:rsidR="00C7147C" w:rsidRPr="003232EA" w:rsidRDefault="00D42A54"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269D6C74" wp14:editId="0B6621FD">
            <wp:extent cx="2693504" cy="1441174"/>
            <wp:effectExtent l="0" t="0" r="0"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936963"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936963">
        <w:rPr>
          <w:rFonts w:ascii="Arial" w:hAnsi="Arial" w:cs="Arial"/>
          <w:color w:val="000000" w:themeColor="text1"/>
          <w:szCs w:val="24"/>
        </w:rPr>
        <w:t xml:space="preserve">Registra-se que as consultas não médicas atingiram </w:t>
      </w:r>
      <w:r w:rsidR="00025C7B" w:rsidRPr="00936963">
        <w:rPr>
          <w:rFonts w:ascii="Arial" w:hAnsi="Arial" w:cs="Arial"/>
          <w:color w:val="000000" w:themeColor="text1"/>
          <w:szCs w:val="24"/>
        </w:rPr>
        <w:t>103% no período.</w:t>
      </w:r>
    </w:p>
    <w:p w:rsidR="00025C7B" w:rsidRPr="00936963" w:rsidRDefault="00932ACF" w:rsidP="00932ACF">
      <w:pPr>
        <w:tabs>
          <w:tab w:val="left" w:pos="567"/>
        </w:tabs>
        <w:spacing w:after="0" w:line="360" w:lineRule="auto"/>
        <w:jc w:val="both"/>
        <w:rPr>
          <w:rFonts w:ascii="Arial" w:hAnsi="Arial" w:cs="Arial"/>
          <w:color w:val="000000" w:themeColor="text1"/>
          <w:szCs w:val="24"/>
        </w:rPr>
      </w:pPr>
      <w:r w:rsidRPr="00936963">
        <w:rPr>
          <w:rFonts w:ascii="Arial" w:hAnsi="Arial" w:cs="Arial"/>
          <w:color w:val="000000" w:themeColor="text1"/>
          <w:szCs w:val="24"/>
        </w:rPr>
        <w:tab/>
      </w:r>
      <w:r w:rsidR="00025C7B" w:rsidRPr="00936963">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936963">
        <w:rPr>
          <w:rFonts w:ascii="Arial" w:hAnsi="Arial" w:cs="Arial"/>
          <w:color w:val="000000" w:themeColor="text1"/>
          <w:szCs w:val="24"/>
        </w:rPr>
        <w:t>não-médicos</w:t>
      </w:r>
      <w:proofErr w:type="gramEnd"/>
      <w:r w:rsidR="00025C7B" w:rsidRPr="00936963">
        <w:rPr>
          <w:rFonts w:ascii="Arial" w:hAnsi="Arial" w:cs="Arial"/>
          <w:color w:val="000000" w:themeColor="text1"/>
          <w:szCs w:val="24"/>
        </w:rPr>
        <w:t xml:space="preserve"> (Odontologia, Psicologia, Nutrição e Fisioterapia), com uma meta global de 1200 atendimentos para o período em análise, no qual realizamos 1237 atendimentos.</w:t>
      </w:r>
    </w:p>
    <w:p w:rsidR="00025C7B" w:rsidRPr="00936963" w:rsidRDefault="00932ACF" w:rsidP="00932ACF">
      <w:pPr>
        <w:tabs>
          <w:tab w:val="left" w:pos="567"/>
        </w:tabs>
        <w:spacing w:after="0" w:line="360" w:lineRule="auto"/>
        <w:jc w:val="both"/>
        <w:rPr>
          <w:rFonts w:ascii="Arial" w:hAnsi="Arial" w:cs="Arial"/>
          <w:color w:val="000000" w:themeColor="text1"/>
          <w:szCs w:val="24"/>
        </w:rPr>
      </w:pPr>
      <w:r w:rsidRPr="00936963">
        <w:rPr>
          <w:rFonts w:ascii="Arial" w:hAnsi="Arial" w:cs="Arial"/>
          <w:color w:val="000000" w:themeColor="text1"/>
          <w:szCs w:val="24"/>
        </w:rPr>
        <w:lastRenderedPageBreak/>
        <w:tab/>
      </w:r>
      <w:r w:rsidR="00025C7B" w:rsidRPr="00936963">
        <w:rPr>
          <w:rFonts w:ascii="Arial" w:hAnsi="Arial" w:cs="Arial"/>
          <w:color w:val="000000" w:themeColor="text1"/>
          <w:szCs w:val="24"/>
        </w:rPr>
        <w:t xml:space="preserve">Como plano de ação para dar continuidade </w:t>
      </w:r>
      <w:proofErr w:type="gramStart"/>
      <w:r w:rsidR="00025C7B" w:rsidRPr="00936963">
        <w:rPr>
          <w:rFonts w:ascii="Arial" w:hAnsi="Arial" w:cs="Arial"/>
          <w:color w:val="000000" w:themeColor="text1"/>
          <w:szCs w:val="24"/>
        </w:rPr>
        <w:t>a</w:t>
      </w:r>
      <w:proofErr w:type="gramEnd"/>
      <w:r w:rsidR="00025C7B" w:rsidRPr="00936963">
        <w:rPr>
          <w:rFonts w:ascii="Arial" w:hAnsi="Arial" w:cs="Arial"/>
          <w:color w:val="000000" w:themeColor="text1"/>
          <w:szCs w:val="24"/>
        </w:rPr>
        <w:t xml:space="preserve"> otimização das agendas serão realizados:</w:t>
      </w:r>
      <w:r w:rsidRPr="00936963">
        <w:rPr>
          <w:rFonts w:ascii="Arial" w:hAnsi="Arial" w:cs="Arial"/>
          <w:color w:val="000000" w:themeColor="text1"/>
          <w:szCs w:val="24"/>
        </w:rPr>
        <w:t xml:space="preserve"> </w:t>
      </w:r>
      <w:r w:rsidR="00025C7B" w:rsidRPr="00936963">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Pr="00936963" w:rsidRDefault="00E02E97" w:rsidP="00B175A1">
      <w:pPr>
        <w:tabs>
          <w:tab w:val="left" w:pos="567"/>
        </w:tabs>
        <w:spacing w:after="0" w:line="360" w:lineRule="auto"/>
        <w:jc w:val="both"/>
        <w:rPr>
          <w:rFonts w:ascii="Arial" w:hAnsi="Arial" w:cs="Arial"/>
          <w:color w:val="000000" w:themeColor="text1"/>
        </w:rPr>
      </w:pPr>
      <w:r>
        <w:rPr>
          <w:rFonts w:ascii="Arial" w:hAnsi="Arial" w:cs="Arial"/>
        </w:rPr>
        <w:tab/>
        <w:t xml:space="preserve">Conceituação: Relação percentual entre o número de paciente-dia, em determinado período, e o </w:t>
      </w:r>
      <w:r w:rsidRPr="00936963">
        <w:rPr>
          <w:rFonts w:ascii="Arial" w:hAnsi="Arial" w:cs="Arial"/>
          <w:color w:val="000000" w:themeColor="text1"/>
        </w:rPr>
        <w:t>número de leitos-dia no mesmo período.</w:t>
      </w:r>
    </w:p>
    <w:p w:rsidR="00B175A1" w:rsidRPr="00936963" w:rsidRDefault="00410BB0" w:rsidP="00B175A1">
      <w:pPr>
        <w:tabs>
          <w:tab w:val="left" w:pos="567"/>
        </w:tabs>
        <w:spacing w:after="0" w:line="360" w:lineRule="auto"/>
        <w:jc w:val="both"/>
        <w:rPr>
          <w:rFonts w:ascii="Arial" w:hAnsi="Arial"/>
          <w:color w:val="000000" w:themeColor="text1"/>
        </w:rPr>
      </w:pPr>
      <w:r w:rsidRPr="00936963">
        <w:rPr>
          <w:rFonts w:ascii="Arial" w:hAnsi="Arial" w:cs="Arial"/>
          <w:color w:val="000000" w:themeColor="text1"/>
        </w:rPr>
        <w:tab/>
      </w:r>
      <w:r w:rsidR="00E02E97" w:rsidRPr="00936963">
        <w:rPr>
          <w:rFonts w:ascii="Arial" w:hAnsi="Arial" w:cs="Arial"/>
          <w:color w:val="000000" w:themeColor="text1"/>
        </w:rPr>
        <w:t xml:space="preserve"> </w:t>
      </w:r>
      <w:r w:rsidRPr="00936963">
        <w:rPr>
          <w:rFonts w:ascii="Arial" w:hAnsi="Arial" w:cs="Arial"/>
          <w:color w:val="000000" w:themeColor="text1"/>
        </w:rPr>
        <w:t xml:space="preserve">Análise: </w:t>
      </w:r>
      <w:r w:rsidR="00C375D9" w:rsidRPr="00936963">
        <w:rPr>
          <w:rFonts w:ascii="Arial" w:hAnsi="Arial"/>
          <w:noProof/>
          <w:color w:val="000000" w:themeColor="text1"/>
          <w:lang w:eastAsia="pt-BR"/>
        </w:rPr>
        <w:t>Tivemos bloqueio de leitos por manutenção e também bloqueios por precauções devid</w:t>
      </w:r>
      <w:r w:rsidR="006D2463" w:rsidRPr="00936963">
        <w:rPr>
          <w:rFonts w:ascii="Arial" w:hAnsi="Arial"/>
          <w:noProof/>
          <w:color w:val="000000" w:themeColor="text1"/>
          <w:lang w:eastAsia="pt-BR"/>
        </w:rPr>
        <w:t>o ao atendimento d</w:t>
      </w:r>
      <w:r w:rsidR="00C375D9" w:rsidRPr="00936963">
        <w:rPr>
          <w:rFonts w:ascii="Arial" w:hAnsi="Arial"/>
          <w:noProof/>
          <w:color w:val="000000" w:themeColor="text1"/>
          <w:lang w:eastAsia="pt-BR"/>
        </w:rPr>
        <w:t>o perfil assistido</w:t>
      </w:r>
      <w:r w:rsidR="009E6367" w:rsidRPr="00936963">
        <w:rPr>
          <w:rFonts w:ascii="Arial" w:hAnsi="Arial"/>
          <w:noProof/>
          <w:color w:val="000000" w:themeColor="text1"/>
          <w:lang w:eastAsia="pt-BR"/>
        </w:rPr>
        <w:t>, com média diária de 6 leitos bloqueados na unidade Hospitalar.</w:t>
      </w:r>
      <w:r w:rsidR="009E6367" w:rsidRPr="00936963">
        <w:rPr>
          <w:rFonts w:ascii="Arial" w:hAnsi="Arial"/>
          <w:color w:val="000000" w:themeColor="text1"/>
        </w:rPr>
        <w:t>A casa de apoio não possui Governabilidade</w:t>
      </w:r>
      <w:r w:rsidR="006D2463" w:rsidRPr="00936963">
        <w:rPr>
          <w:rFonts w:ascii="Arial" w:hAnsi="Arial"/>
          <w:color w:val="000000" w:themeColor="text1"/>
        </w:rPr>
        <w:t>,</w:t>
      </w:r>
      <w:r w:rsidR="009E6367" w:rsidRPr="00936963">
        <w:rPr>
          <w:rFonts w:ascii="Arial" w:hAnsi="Arial"/>
          <w:color w:val="000000" w:themeColor="text1"/>
        </w:rPr>
        <w:t xml:space="preserve"> a demanda é espontânea advinda das cidades do interior do Estado</w:t>
      </w:r>
      <w:r w:rsidR="006D2463" w:rsidRPr="00936963">
        <w:rPr>
          <w:rFonts w:ascii="Arial" w:hAnsi="Arial"/>
          <w:color w:val="000000" w:themeColor="text1"/>
        </w:rPr>
        <w:t>,</w:t>
      </w:r>
      <w:r w:rsidR="009E6367" w:rsidRPr="00936963">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936963">
        <w:rPr>
          <w:rFonts w:ascii="Arial" w:hAnsi="Arial"/>
          <w:color w:val="000000" w:themeColor="text1"/>
        </w:rPr>
        <w:t xml:space="preserve">ência é de 2 dias tendo como consequência, queda no número de hospedes/dia levando diminuição acentuada </w:t>
      </w:r>
      <w:r w:rsidR="009E6367" w:rsidRPr="00936963">
        <w:rPr>
          <w:rFonts w:ascii="Arial" w:hAnsi="Arial"/>
          <w:color w:val="000000" w:themeColor="text1"/>
        </w:rPr>
        <w:t>da taxa de ocupação.</w:t>
      </w:r>
    </w:p>
    <w:p w:rsidR="009E6367" w:rsidRPr="00936963" w:rsidRDefault="009E6367" w:rsidP="00B175A1">
      <w:pPr>
        <w:tabs>
          <w:tab w:val="left" w:pos="567"/>
        </w:tabs>
        <w:spacing w:after="0" w:line="360" w:lineRule="auto"/>
        <w:jc w:val="both"/>
        <w:rPr>
          <w:rFonts w:ascii="Arial" w:hAnsi="Arial" w:cs="Arial"/>
          <w:color w:val="000000" w:themeColor="text1"/>
        </w:rPr>
      </w:pPr>
      <w:r w:rsidRPr="00936963">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D42A54">
        <w:rPr>
          <w:rFonts w:ascii="Arial" w:hAnsi="Arial" w:cs="Arial"/>
          <w:b/>
        </w:rPr>
        <w:t>Outu</w:t>
      </w:r>
      <w:r w:rsidR="00AD0428">
        <w:rPr>
          <w:rFonts w:ascii="Arial" w:hAnsi="Arial" w:cs="Arial"/>
          <w:b/>
        </w:rPr>
        <w:t>br</w:t>
      </w:r>
      <w:r w:rsidR="007E1343">
        <w:rPr>
          <w:rFonts w:ascii="Arial" w:hAnsi="Arial" w:cs="Arial"/>
          <w:b/>
        </w:rPr>
        <w:t>o</w:t>
      </w:r>
      <w:r w:rsidRPr="008657C2">
        <w:rPr>
          <w:rFonts w:ascii="Arial" w:hAnsi="Arial" w:cs="Arial"/>
          <w:b/>
        </w:rPr>
        <w:t>/201</w:t>
      </w:r>
      <w:r w:rsidR="00AD0428">
        <w:rPr>
          <w:rFonts w:ascii="Arial" w:hAnsi="Arial" w:cs="Arial"/>
          <w:b/>
        </w:rPr>
        <w:t>8</w:t>
      </w:r>
    </w:p>
    <w:p w:rsidR="00AD0428" w:rsidRDefault="00AD0428" w:rsidP="00932ACF">
      <w:pPr>
        <w:pStyle w:val="PargrafodaLista"/>
        <w:tabs>
          <w:tab w:val="left" w:pos="567"/>
        </w:tabs>
        <w:spacing w:after="0" w:line="360" w:lineRule="auto"/>
        <w:ind w:left="0"/>
        <w:jc w:val="both"/>
        <w:rPr>
          <w:rFonts w:ascii="Arial" w:hAnsi="Arial" w:cs="Arial"/>
          <w:b/>
        </w:rPr>
      </w:pPr>
    </w:p>
    <w:p w:rsidR="00E85B1C" w:rsidRDefault="00E85B1C" w:rsidP="00932ACF">
      <w:pPr>
        <w:pStyle w:val="PargrafodaLista"/>
        <w:tabs>
          <w:tab w:val="left" w:pos="567"/>
        </w:tabs>
        <w:spacing w:after="0" w:line="360" w:lineRule="auto"/>
        <w:ind w:left="0"/>
        <w:jc w:val="both"/>
        <w:rPr>
          <w:rFonts w:ascii="Arial" w:hAnsi="Arial" w:cs="Arial"/>
          <w:b/>
        </w:rPr>
      </w:pPr>
    </w:p>
    <w:p w:rsidR="000A42D8" w:rsidRDefault="000A42D8" w:rsidP="00932ACF">
      <w:pPr>
        <w:pStyle w:val="PargrafodaLista"/>
        <w:tabs>
          <w:tab w:val="left" w:pos="567"/>
        </w:tabs>
        <w:spacing w:after="0" w:line="360" w:lineRule="auto"/>
        <w:ind w:left="0"/>
        <w:jc w:val="both"/>
        <w:rPr>
          <w:rFonts w:ascii="Arial" w:hAnsi="Arial" w:cs="Arial"/>
          <w:b/>
        </w:rPr>
      </w:pPr>
    </w:p>
    <w:p w:rsidR="00D42A54" w:rsidRDefault="00D42A54" w:rsidP="00932ACF">
      <w:pPr>
        <w:pStyle w:val="PargrafodaLista"/>
        <w:tabs>
          <w:tab w:val="left" w:pos="567"/>
        </w:tabs>
        <w:spacing w:after="0" w:line="360" w:lineRule="auto"/>
        <w:ind w:left="0"/>
        <w:jc w:val="both"/>
        <w:rPr>
          <w:rFonts w:ascii="Arial" w:hAnsi="Arial" w:cs="Arial"/>
          <w:b/>
        </w:rPr>
      </w:pPr>
      <w:r>
        <w:rPr>
          <w:noProof/>
          <w:lang w:eastAsia="pt-BR"/>
        </w:rPr>
        <w:lastRenderedPageBreak/>
        <w:drawing>
          <wp:inline distT="0" distB="0" distL="0" distR="0" wp14:anchorId="1E1448E1" wp14:editId="2F7AE48C">
            <wp:extent cx="6112566" cy="1659835"/>
            <wp:effectExtent l="0" t="0" r="254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2A54" w:rsidRDefault="00D42A54"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936963" w:rsidRDefault="00612AE9" w:rsidP="00612AE9">
      <w:pPr>
        <w:pStyle w:val="Standard"/>
        <w:spacing w:line="360" w:lineRule="auto"/>
        <w:ind w:firstLine="709"/>
        <w:jc w:val="both"/>
        <w:rPr>
          <w:rFonts w:ascii="Arial" w:hAnsi="Arial"/>
          <w:color w:val="000000" w:themeColor="text1"/>
          <w:sz w:val="22"/>
          <w:szCs w:val="22"/>
        </w:rPr>
      </w:pPr>
      <w:r w:rsidRPr="00936963">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936963" w:rsidRDefault="00612AE9" w:rsidP="00612AE9">
      <w:pPr>
        <w:pStyle w:val="Standard"/>
        <w:spacing w:line="360" w:lineRule="auto"/>
        <w:ind w:firstLine="709"/>
        <w:jc w:val="both"/>
        <w:rPr>
          <w:rFonts w:ascii="Arial" w:hAnsi="Arial"/>
          <w:color w:val="000000" w:themeColor="text1"/>
          <w:sz w:val="22"/>
          <w:szCs w:val="22"/>
        </w:rPr>
      </w:pPr>
      <w:r w:rsidRPr="00936963">
        <w:rPr>
          <w:rFonts w:ascii="Arial" w:hAnsi="Arial"/>
          <w:color w:val="000000" w:themeColor="text1"/>
          <w:sz w:val="22"/>
          <w:szCs w:val="22"/>
        </w:rPr>
        <w:t xml:space="preserve">A meta global considerando Hospital e Casa de Apoio é de </w:t>
      </w:r>
      <w:proofErr w:type="gramStart"/>
      <w:r w:rsidRPr="00936963">
        <w:rPr>
          <w:rFonts w:ascii="Arial" w:hAnsi="Arial"/>
          <w:color w:val="000000" w:themeColor="text1"/>
          <w:sz w:val="22"/>
          <w:szCs w:val="22"/>
        </w:rPr>
        <w:t>5</w:t>
      </w:r>
      <w:proofErr w:type="gramEnd"/>
      <w:r w:rsidRPr="00936963">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D42A54">
        <w:rPr>
          <w:rFonts w:ascii="Arial" w:hAnsi="Arial" w:cs="Arial"/>
          <w:b/>
        </w:rPr>
        <w:t>Outu</w:t>
      </w:r>
      <w:r w:rsidR="00AD0428">
        <w:rPr>
          <w:rFonts w:ascii="Arial" w:hAnsi="Arial" w:cs="Arial"/>
          <w:b/>
        </w:rPr>
        <w:t>br</w:t>
      </w:r>
      <w:r w:rsidR="007E1343">
        <w:rPr>
          <w:rFonts w:ascii="Arial" w:hAnsi="Arial" w:cs="Arial"/>
          <w:b/>
        </w:rPr>
        <w:t>o</w:t>
      </w:r>
      <w:r>
        <w:rPr>
          <w:rFonts w:ascii="Arial" w:hAnsi="Arial" w:cs="Arial"/>
          <w:b/>
        </w:rPr>
        <w:t>/201</w:t>
      </w:r>
      <w:r w:rsidR="00AD0428">
        <w:rPr>
          <w:rFonts w:ascii="Arial" w:hAnsi="Arial" w:cs="Arial"/>
          <w:b/>
        </w:rPr>
        <w:t>8</w:t>
      </w:r>
    </w:p>
    <w:p w:rsidR="000A42D8" w:rsidRDefault="000A42D8" w:rsidP="00787216">
      <w:pPr>
        <w:pStyle w:val="Standard"/>
        <w:jc w:val="center"/>
        <w:rPr>
          <w:rFonts w:ascii="Arial" w:hAnsi="Arial"/>
          <w:sz w:val="22"/>
          <w:szCs w:val="22"/>
        </w:rPr>
      </w:pPr>
    </w:p>
    <w:p w:rsidR="00D42A54" w:rsidRDefault="00D42A54" w:rsidP="00787216">
      <w:pPr>
        <w:pStyle w:val="Standard"/>
        <w:jc w:val="center"/>
        <w:rPr>
          <w:rFonts w:ascii="Arial" w:hAnsi="Arial"/>
          <w:sz w:val="22"/>
          <w:szCs w:val="22"/>
        </w:rPr>
      </w:pPr>
      <w:r>
        <w:rPr>
          <w:noProof/>
          <w:lang w:eastAsia="pt-BR" w:bidi="ar-SA"/>
        </w:rPr>
        <w:drawing>
          <wp:inline distT="0" distB="0" distL="0" distR="0" wp14:anchorId="200E64C4" wp14:editId="23F33C91">
            <wp:extent cx="5486400" cy="1470991"/>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lastRenderedPageBreak/>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D42A54" w:rsidP="00025694">
            <w:pPr>
              <w:pStyle w:val="Standard"/>
              <w:spacing w:line="360" w:lineRule="auto"/>
              <w:jc w:val="center"/>
              <w:rPr>
                <w:rFonts w:ascii="Arial" w:hAnsi="Arial"/>
              </w:rPr>
            </w:pPr>
            <w:r>
              <w:rPr>
                <w:rFonts w:ascii="Arial" w:hAnsi="Arial"/>
              </w:rPr>
              <w:t>Out</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D42A54">
        <w:rPr>
          <w:rFonts w:ascii="Arial" w:hAnsi="Arial" w:cs="Arial"/>
          <w:b/>
        </w:rPr>
        <w:t>Outu</w:t>
      </w:r>
      <w:r w:rsidR="00AD0428">
        <w:rPr>
          <w:rFonts w:ascii="Arial" w:hAnsi="Arial" w:cs="Arial"/>
          <w:b/>
        </w:rPr>
        <w:t>bro</w:t>
      </w:r>
      <w:r>
        <w:rPr>
          <w:rFonts w:ascii="Arial" w:hAnsi="Arial" w:cs="Arial"/>
          <w:b/>
        </w:rPr>
        <w:t>/201</w:t>
      </w:r>
      <w:r w:rsidR="00AD0428">
        <w:rPr>
          <w:rFonts w:ascii="Arial" w:hAnsi="Arial" w:cs="Arial"/>
          <w:b/>
        </w:rPr>
        <w:t>8</w:t>
      </w:r>
    </w:p>
    <w:p w:rsidR="00112D9A" w:rsidRDefault="00D42A54"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05CEDBC3" wp14:editId="5D4F714A">
            <wp:extent cx="3101009" cy="1411356"/>
            <wp:effectExtent l="0" t="0" r="444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D42A54" w:rsidP="00025694">
            <w:pPr>
              <w:pStyle w:val="Standard"/>
              <w:spacing w:line="360" w:lineRule="auto"/>
              <w:jc w:val="center"/>
              <w:rPr>
                <w:rFonts w:ascii="Arial" w:hAnsi="Arial"/>
              </w:rPr>
            </w:pPr>
            <w:r>
              <w:rPr>
                <w:rFonts w:ascii="Arial" w:hAnsi="Arial"/>
              </w:rPr>
              <w:t>Out</w:t>
            </w:r>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D42A54" w:rsidRDefault="000E4A45" w:rsidP="00D42A54">
      <w:pPr>
        <w:spacing w:after="0" w:line="360" w:lineRule="auto"/>
        <w:jc w:val="both"/>
        <w:rPr>
          <w:rFonts w:ascii="Arial" w:hAnsi="Arial" w:cs="Arial"/>
          <w:sz w:val="20"/>
          <w:szCs w:val="20"/>
        </w:rPr>
      </w:pPr>
      <w:r>
        <w:rPr>
          <w:rFonts w:ascii="Arial" w:hAnsi="Arial" w:cs="Arial"/>
        </w:rPr>
        <w:tab/>
      </w:r>
      <w:r w:rsidRPr="0051298F">
        <w:rPr>
          <w:rFonts w:ascii="Arial" w:hAnsi="Arial" w:cs="Arial"/>
          <w:sz w:val="24"/>
        </w:rPr>
        <w:t xml:space="preserve">Análise: </w:t>
      </w:r>
      <w:r w:rsidR="00D42A54">
        <w:rPr>
          <w:rFonts w:ascii="Arial" w:hAnsi="Arial" w:cs="Arial"/>
          <w:sz w:val="20"/>
          <w:szCs w:val="20"/>
        </w:rPr>
        <w:t xml:space="preserve">A incidência no mês de Outubro foi de 1,7 seguindo a descrição da fórmula acima, onde durante este mês não tivemos uma (01) queda, sendo que tivemos no mês 606 paciente/dia, com 58 admissões neste período.  </w:t>
      </w:r>
    </w:p>
    <w:p w:rsidR="00AD0428" w:rsidRDefault="00AD0428" w:rsidP="00AD0428">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D42A54">
        <w:rPr>
          <w:rFonts w:ascii="Arial" w:hAnsi="Arial" w:cs="Arial"/>
          <w:b/>
        </w:rPr>
        <w:t>Outu</w:t>
      </w:r>
      <w:r w:rsidR="00AD0428">
        <w:rPr>
          <w:rFonts w:ascii="Arial" w:hAnsi="Arial" w:cs="Arial"/>
          <w:b/>
        </w:rPr>
        <w:t>bro</w:t>
      </w:r>
      <w:r>
        <w:rPr>
          <w:rFonts w:ascii="Arial" w:hAnsi="Arial" w:cs="Arial"/>
          <w:b/>
        </w:rPr>
        <w:t>/201</w:t>
      </w:r>
      <w:r w:rsidR="00AD0428">
        <w:rPr>
          <w:rFonts w:ascii="Arial" w:hAnsi="Arial" w:cs="Arial"/>
          <w:b/>
        </w:rPr>
        <w:t>8</w:t>
      </w:r>
    </w:p>
    <w:p w:rsidR="000E4A45" w:rsidRDefault="007E1343"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410E4CD1" wp14:editId="5CA5BE66">
            <wp:extent cx="1630017" cy="1530626"/>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D42A54" w:rsidP="000A42D8">
            <w:pPr>
              <w:pStyle w:val="Standard"/>
              <w:spacing w:line="360" w:lineRule="auto"/>
              <w:jc w:val="center"/>
              <w:rPr>
                <w:rFonts w:ascii="Arial" w:hAnsi="Arial"/>
              </w:rPr>
            </w:pPr>
            <w:r>
              <w:rPr>
                <w:rFonts w:ascii="Arial" w:hAnsi="Arial"/>
              </w:rPr>
              <w:t>Out</w:t>
            </w:r>
          </w:p>
        </w:tc>
      </w:tr>
      <w:tr w:rsidR="00112D9A"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D42A54" w:rsidRPr="00936963" w:rsidRDefault="00112D9A" w:rsidP="00D42A54">
      <w:pPr>
        <w:spacing w:after="0" w:line="360" w:lineRule="auto"/>
        <w:jc w:val="both"/>
        <w:rPr>
          <w:rFonts w:ascii="Arial" w:hAnsi="Arial" w:cs="Arial"/>
          <w:color w:val="000000" w:themeColor="text1"/>
          <w:szCs w:val="20"/>
        </w:rPr>
      </w:pPr>
      <w:r>
        <w:rPr>
          <w:rFonts w:ascii="Arial" w:hAnsi="Arial" w:cs="Arial"/>
          <w:color w:val="FF0000"/>
        </w:rPr>
        <w:tab/>
      </w:r>
      <w:r w:rsidR="00612AE9" w:rsidRPr="00936963">
        <w:rPr>
          <w:rFonts w:ascii="Arial" w:hAnsi="Arial" w:cs="Arial"/>
          <w:color w:val="000000" w:themeColor="text1"/>
        </w:rPr>
        <w:t>Análise:</w:t>
      </w:r>
      <w:r w:rsidR="00205C83" w:rsidRPr="00936963">
        <w:rPr>
          <w:rFonts w:ascii="Arial" w:hAnsi="Arial" w:cs="Arial"/>
          <w:color w:val="000000" w:themeColor="text1"/>
        </w:rPr>
        <w:t xml:space="preserve"> </w:t>
      </w:r>
      <w:r w:rsidR="00D42A54" w:rsidRPr="00936963">
        <w:rPr>
          <w:rFonts w:ascii="Arial" w:hAnsi="Arial" w:cs="Arial"/>
          <w:color w:val="000000" w:themeColor="text1"/>
          <w:szCs w:val="20"/>
        </w:rPr>
        <w:t>Obtivemos no mês de Outubro a admissão de 58 pacientes, dentre essas admissões foram contabilizados nenhum caso novo de LPP.</w:t>
      </w:r>
    </w:p>
    <w:p w:rsidR="007E1343" w:rsidRPr="00936963" w:rsidRDefault="007E1343" w:rsidP="00AD0428">
      <w:pPr>
        <w:spacing w:after="0" w:line="360" w:lineRule="auto"/>
        <w:jc w:val="both"/>
        <w:rPr>
          <w:rFonts w:ascii="Arial" w:hAnsi="Arial" w:cs="Arial"/>
          <w:color w:val="000000" w:themeColor="text1"/>
          <w:sz w:val="32"/>
          <w:szCs w:val="20"/>
        </w:rPr>
      </w:pPr>
      <w:r w:rsidRPr="00936963">
        <w:rPr>
          <w:rFonts w:ascii="Arial" w:hAnsi="Arial" w:cs="Arial"/>
          <w:color w:val="000000" w:themeColor="text1"/>
          <w:sz w:val="32"/>
          <w:szCs w:val="20"/>
        </w:rPr>
        <w:tab/>
      </w:r>
      <w:r w:rsidR="00D42A54" w:rsidRPr="00936963">
        <w:rPr>
          <w:rFonts w:ascii="Arial" w:hAnsi="Arial" w:cs="Arial"/>
          <w:color w:val="000000" w:themeColor="text1"/>
          <w:szCs w:val="20"/>
        </w:rPr>
        <w:t xml:space="preserve">A incidência no mês de Outubro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 </w:t>
      </w:r>
    </w:p>
    <w:p w:rsidR="00612AE9" w:rsidRPr="00936963" w:rsidRDefault="0033692C" w:rsidP="00787216">
      <w:pPr>
        <w:tabs>
          <w:tab w:val="left" w:pos="709"/>
        </w:tabs>
        <w:spacing w:after="0" w:line="360" w:lineRule="auto"/>
        <w:jc w:val="both"/>
        <w:rPr>
          <w:rFonts w:ascii="Arial" w:hAnsi="Arial" w:cs="Arial"/>
          <w:color w:val="000000" w:themeColor="text1"/>
        </w:rPr>
      </w:pPr>
      <w:r w:rsidRPr="00936963">
        <w:rPr>
          <w:rFonts w:ascii="Arial" w:hAnsi="Arial" w:cs="Arial"/>
          <w:color w:val="000000" w:themeColor="text1"/>
          <w:sz w:val="20"/>
          <w:szCs w:val="20"/>
        </w:rPr>
        <w:tab/>
      </w:r>
      <w:r w:rsidR="00612AE9" w:rsidRPr="00936963">
        <w:rPr>
          <w:rFonts w:ascii="Arial" w:hAnsi="Arial" w:cs="Arial"/>
          <w:color w:val="000000" w:themeColor="text1"/>
        </w:rPr>
        <w:t>Não tivemos incidência de lesão por pressão no mês de Setembro,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lastRenderedPageBreak/>
        <w:t xml:space="preserve">Incidência de Úlcera por pressão – </w:t>
      </w:r>
      <w:r w:rsidR="00D42A54">
        <w:rPr>
          <w:rFonts w:ascii="Arial" w:hAnsi="Arial" w:cs="Arial"/>
          <w:b/>
        </w:rPr>
        <w:t>Outu</w:t>
      </w:r>
      <w:r w:rsidR="00AD0428">
        <w:rPr>
          <w:rFonts w:ascii="Arial" w:hAnsi="Arial" w:cs="Arial"/>
          <w:b/>
        </w:rPr>
        <w:t>br</w:t>
      </w:r>
      <w:r w:rsidR="007E1343">
        <w:rPr>
          <w:rFonts w:ascii="Arial" w:hAnsi="Arial" w:cs="Arial"/>
          <w:b/>
        </w:rPr>
        <w:t>o</w:t>
      </w:r>
      <w:r>
        <w:rPr>
          <w:rFonts w:ascii="Arial" w:hAnsi="Arial" w:cs="Arial"/>
          <w:b/>
        </w:rPr>
        <w:t>/201</w:t>
      </w:r>
      <w:r w:rsidR="00AD0428">
        <w:rPr>
          <w:rFonts w:ascii="Arial" w:hAnsi="Arial" w:cs="Arial"/>
          <w:b/>
        </w:rPr>
        <w:t>8</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tabs>
          <w:tab w:val="left" w:pos="567"/>
        </w:tabs>
        <w:spacing w:after="0" w:line="360" w:lineRule="auto"/>
        <w:jc w:val="both"/>
        <w:rPr>
          <w:rFonts w:ascii="Arial" w:hAnsi="Arial" w:cs="Arial"/>
          <w:b/>
          <w:szCs w:val="24"/>
        </w:rPr>
      </w:pPr>
    </w:p>
    <w:p w:rsidR="00F13A6D" w:rsidRDefault="00F13A6D" w:rsidP="00F13A6D">
      <w:pPr>
        <w:pStyle w:val="PargrafodaLista"/>
        <w:tabs>
          <w:tab w:val="left" w:pos="567"/>
        </w:tabs>
        <w:spacing w:after="0" w:line="360" w:lineRule="auto"/>
        <w:ind w:left="0"/>
        <w:rPr>
          <w:rFonts w:ascii="Arial" w:hAnsi="Arial" w:cs="Arial"/>
          <w:szCs w:val="24"/>
        </w:rPr>
      </w:pPr>
      <w:bookmarkStart w:id="0" w:name="_GoBack"/>
      <w:bookmarkEnd w:id="0"/>
    </w:p>
    <w:p w:rsidR="00F13A6D" w:rsidRDefault="00F13A6D" w:rsidP="00F13A6D">
      <w:pPr>
        <w:pStyle w:val="PargrafodaLista"/>
        <w:tabs>
          <w:tab w:val="left" w:pos="567"/>
        </w:tabs>
        <w:spacing w:after="0" w:line="360" w:lineRule="auto"/>
        <w:ind w:left="0"/>
        <w:rPr>
          <w:rFonts w:ascii="Arial" w:hAnsi="Arial" w:cs="Arial"/>
          <w:szCs w:val="24"/>
        </w:rPr>
      </w:pPr>
    </w:p>
    <w:p w:rsidR="00F13A6D" w:rsidRDefault="00F13A6D" w:rsidP="00F13A6D">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F13A6D" w:rsidRPr="00F13A6D" w:rsidRDefault="00F13A6D" w:rsidP="00F13A6D">
      <w:pPr>
        <w:tabs>
          <w:tab w:val="left" w:pos="567"/>
        </w:tabs>
        <w:spacing w:after="0" w:line="360" w:lineRule="auto"/>
        <w:jc w:val="both"/>
        <w:rPr>
          <w:rFonts w:ascii="Arial" w:hAnsi="Arial" w:cs="Arial"/>
          <w:b/>
          <w:szCs w:val="24"/>
        </w:rPr>
      </w:pPr>
    </w:p>
    <w:sectPr w:rsidR="00F13A6D" w:rsidRPr="00F13A6D"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0EE" w:rsidRDefault="002E10EE" w:rsidP="009B5447">
      <w:pPr>
        <w:spacing w:after="0" w:line="240" w:lineRule="auto"/>
      </w:pPr>
      <w:r>
        <w:separator/>
      </w:r>
    </w:p>
  </w:endnote>
  <w:endnote w:type="continuationSeparator" w:id="0">
    <w:p w:rsidR="002E10EE" w:rsidRDefault="002E10EE"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70144E">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A234BF">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CF">
          <w:fldChar w:fldCharType="begin"/>
        </w:r>
        <w:r w:rsidR="00932ACF">
          <w:instrText>PAGE   \* MERGEFORMAT</w:instrText>
        </w:r>
        <w:r w:rsidR="00932ACF">
          <w:fldChar w:fldCharType="separate"/>
        </w:r>
        <w:r w:rsidR="00936963">
          <w:rPr>
            <w:noProof/>
          </w:rPr>
          <w:t>14</w:t>
        </w:r>
        <w:r w:rsidR="00932ACF">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0EE" w:rsidRDefault="002E10EE" w:rsidP="009B5447">
      <w:pPr>
        <w:spacing w:after="0" w:line="240" w:lineRule="auto"/>
      </w:pPr>
      <w:r>
        <w:separator/>
      </w:r>
    </w:p>
  </w:footnote>
  <w:footnote w:type="continuationSeparator" w:id="0">
    <w:p w:rsidR="002E10EE" w:rsidRDefault="002E10EE"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5F" w:rsidRDefault="0070144E">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447" w:rsidRDefault="0070144E" w:rsidP="0070144E">
    <w:pPr>
      <w:pStyle w:val="Cabealho"/>
      <w:tabs>
        <w:tab w:val="clear" w:pos="4252"/>
        <w:tab w:val="clear" w:pos="8504"/>
        <w:tab w:val="left" w:pos="3772"/>
      </w:tabs>
    </w:pPr>
    <w:r>
      <w:tab/>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4379"/>
    <w:rsid w:val="002248AE"/>
    <w:rsid w:val="0025705F"/>
    <w:rsid w:val="0028436D"/>
    <w:rsid w:val="002A142D"/>
    <w:rsid w:val="002B2C1D"/>
    <w:rsid w:val="002D108F"/>
    <w:rsid w:val="002E10EE"/>
    <w:rsid w:val="002E1A7C"/>
    <w:rsid w:val="003232EA"/>
    <w:rsid w:val="0033692C"/>
    <w:rsid w:val="00344FAB"/>
    <w:rsid w:val="00352ECD"/>
    <w:rsid w:val="003552CF"/>
    <w:rsid w:val="003A6290"/>
    <w:rsid w:val="00406D02"/>
    <w:rsid w:val="00410BB0"/>
    <w:rsid w:val="00417BFF"/>
    <w:rsid w:val="004759B0"/>
    <w:rsid w:val="004811F0"/>
    <w:rsid w:val="004D1940"/>
    <w:rsid w:val="004D77B1"/>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D2463"/>
    <w:rsid w:val="006E70EB"/>
    <w:rsid w:val="006F4458"/>
    <w:rsid w:val="0070144E"/>
    <w:rsid w:val="00705E42"/>
    <w:rsid w:val="007136AA"/>
    <w:rsid w:val="0075359B"/>
    <w:rsid w:val="0076630F"/>
    <w:rsid w:val="00787216"/>
    <w:rsid w:val="007963A1"/>
    <w:rsid w:val="007A7D48"/>
    <w:rsid w:val="007C71F0"/>
    <w:rsid w:val="007E1343"/>
    <w:rsid w:val="0081720B"/>
    <w:rsid w:val="00841D01"/>
    <w:rsid w:val="008522F8"/>
    <w:rsid w:val="00854AAC"/>
    <w:rsid w:val="008657C2"/>
    <w:rsid w:val="00865B04"/>
    <w:rsid w:val="008A570B"/>
    <w:rsid w:val="008C13AC"/>
    <w:rsid w:val="008E14CF"/>
    <w:rsid w:val="008F0FEF"/>
    <w:rsid w:val="008F7F06"/>
    <w:rsid w:val="009078F5"/>
    <w:rsid w:val="009237DD"/>
    <w:rsid w:val="00932ACF"/>
    <w:rsid w:val="00936963"/>
    <w:rsid w:val="00954A4C"/>
    <w:rsid w:val="009555A8"/>
    <w:rsid w:val="0097632F"/>
    <w:rsid w:val="009B50DA"/>
    <w:rsid w:val="009B5447"/>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69B9"/>
    <w:rsid w:val="00B175A1"/>
    <w:rsid w:val="00B96A95"/>
    <w:rsid w:val="00BC3B8A"/>
    <w:rsid w:val="00C20996"/>
    <w:rsid w:val="00C375D9"/>
    <w:rsid w:val="00C55BC8"/>
    <w:rsid w:val="00C7147C"/>
    <w:rsid w:val="00C85365"/>
    <w:rsid w:val="00CC6FEE"/>
    <w:rsid w:val="00CD476A"/>
    <w:rsid w:val="00CF7F91"/>
    <w:rsid w:val="00D039E9"/>
    <w:rsid w:val="00D1755E"/>
    <w:rsid w:val="00D42A54"/>
    <w:rsid w:val="00D61D8E"/>
    <w:rsid w:val="00D627DD"/>
    <w:rsid w:val="00D70966"/>
    <w:rsid w:val="00D87BAE"/>
    <w:rsid w:val="00D91DFC"/>
    <w:rsid w:val="00DA38CB"/>
    <w:rsid w:val="00DD64A3"/>
    <w:rsid w:val="00E02E97"/>
    <w:rsid w:val="00E07B90"/>
    <w:rsid w:val="00E4093C"/>
    <w:rsid w:val="00E43BB9"/>
    <w:rsid w:val="00E51C71"/>
    <w:rsid w:val="00E51FFA"/>
    <w:rsid w:val="00E6036F"/>
    <w:rsid w:val="00E63C5A"/>
    <w:rsid w:val="00E7365C"/>
    <w:rsid w:val="00E85B1C"/>
    <w:rsid w:val="00E977EB"/>
    <w:rsid w:val="00EC3377"/>
    <w:rsid w:val="00EF3D86"/>
    <w:rsid w:val="00F07BBF"/>
    <w:rsid w:val="00F13A6D"/>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4059">
      <w:bodyDiv w:val="1"/>
      <w:marLeft w:val="0"/>
      <w:marRight w:val="0"/>
      <w:marTop w:val="0"/>
      <w:marBottom w:val="0"/>
      <w:divBdr>
        <w:top w:val="none" w:sz="0" w:space="0" w:color="auto"/>
        <w:left w:val="none" w:sz="0" w:space="0" w:color="auto"/>
        <w:bottom w:val="none" w:sz="0" w:space="0" w:color="auto"/>
        <w:right w:val="none" w:sz="0" w:space="0" w:color="auto"/>
      </w:divBdr>
    </w:div>
    <w:div w:id="90383023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(Altas!$B$22:$C$22,Altas!$E$22:$F$22,Altas!$H$22:$I$22)</c:f>
              <c:numCache>
                <c:formatCode>General</c:formatCode>
                <c:ptCount val="6"/>
                <c:pt idx="0">
                  <c:v>50</c:v>
                </c:pt>
                <c:pt idx="1">
                  <c:v>61</c:v>
                </c:pt>
                <c:pt idx="2">
                  <c:v>70</c:v>
                </c:pt>
                <c:pt idx="3">
                  <c:v>81</c:v>
                </c:pt>
                <c:pt idx="4">
                  <c:v>120</c:v>
                </c:pt>
                <c:pt idx="5">
                  <c:v>142</c:v>
                </c:pt>
              </c:numCache>
            </c:numRef>
          </c:val>
        </c:ser>
        <c:dLbls>
          <c:showLegendKey val="0"/>
          <c:showVal val="1"/>
          <c:showCatName val="0"/>
          <c:showSerName val="0"/>
          <c:showPercent val="0"/>
          <c:showBubbleSize val="0"/>
        </c:dLbls>
        <c:gapWidth val="150"/>
        <c:overlap val="-25"/>
        <c:axId val="177778048"/>
        <c:axId val="176321664"/>
      </c:barChart>
      <c:catAx>
        <c:axId val="177778048"/>
        <c:scaling>
          <c:orientation val="minMax"/>
        </c:scaling>
        <c:delete val="0"/>
        <c:axPos val="b"/>
        <c:majorTickMark val="none"/>
        <c:minorTickMark val="none"/>
        <c:tickLblPos val="nextTo"/>
        <c:crossAx val="176321664"/>
        <c:crosses val="autoZero"/>
        <c:auto val="1"/>
        <c:lblAlgn val="ctr"/>
        <c:lblOffset val="100"/>
        <c:noMultiLvlLbl val="0"/>
      </c:catAx>
      <c:valAx>
        <c:axId val="176321664"/>
        <c:scaling>
          <c:orientation val="minMax"/>
        </c:scaling>
        <c:delete val="1"/>
        <c:axPos val="l"/>
        <c:numFmt formatCode="General" sourceLinked="1"/>
        <c:majorTickMark val="out"/>
        <c:minorTickMark val="none"/>
        <c:tickLblPos val="nextTo"/>
        <c:crossAx val="17777804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Ambulatório!$B$16:$C$16</c:f>
              <c:numCache>
                <c:formatCode>General</c:formatCode>
                <c:ptCount val="2"/>
                <c:pt idx="0">
                  <c:v>780</c:v>
                </c:pt>
                <c:pt idx="1">
                  <c:v>764</c:v>
                </c:pt>
              </c:numCache>
            </c:numRef>
          </c:val>
        </c:ser>
        <c:dLbls>
          <c:showLegendKey val="0"/>
          <c:showVal val="1"/>
          <c:showCatName val="0"/>
          <c:showSerName val="0"/>
          <c:showPercent val="0"/>
          <c:showBubbleSize val="0"/>
        </c:dLbls>
        <c:gapWidth val="150"/>
        <c:overlap val="-25"/>
        <c:axId val="176346624"/>
        <c:axId val="176348160"/>
      </c:barChart>
      <c:catAx>
        <c:axId val="176346624"/>
        <c:scaling>
          <c:orientation val="minMax"/>
        </c:scaling>
        <c:delete val="0"/>
        <c:axPos val="b"/>
        <c:majorTickMark val="none"/>
        <c:minorTickMark val="none"/>
        <c:tickLblPos val="nextTo"/>
        <c:crossAx val="176348160"/>
        <c:crosses val="autoZero"/>
        <c:auto val="1"/>
        <c:lblAlgn val="ctr"/>
        <c:lblOffset val="100"/>
        <c:noMultiLvlLbl val="0"/>
      </c:catAx>
      <c:valAx>
        <c:axId val="176348160"/>
        <c:scaling>
          <c:orientation val="minMax"/>
        </c:scaling>
        <c:delete val="1"/>
        <c:axPos val="l"/>
        <c:numFmt formatCode="General" sourceLinked="1"/>
        <c:majorTickMark val="out"/>
        <c:minorTickMark val="none"/>
        <c:tickLblPos val="nextTo"/>
        <c:crossAx val="1763466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Ocupação'!$A$17</c:f>
              <c:strCache>
                <c:ptCount val="1"/>
                <c:pt idx="0">
                  <c:v>Out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Ocupação'!$B$17,'Tx. Ocupação'!$C$17,'Tx. Ocupação'!$E$17,'Tx. Ocupação'!$F$17,'Tx. Ocupação'!$H$17,'Tx. Ocupação'!$I$17)</c:f>
              <c:numCache>
                <c:formatCode>0%</c:formatCode>
                <c:ptCount val="6"/>
                <c:pt idx="0">
                  <c:v>0.85</c:v>
                </c:pt>
                <c:pt idx="1">
                  <c:v>0.7</c:v>
                </c:pt>
                <c:pt idx="2">
                  <c:v>0.85</c:v>
                </c:pt>
                <c:pt idx="3">
                  <c:v>0.25</c:v>
                </c:pt>
                <c:pt idx="4">
                  <c:v>0.85</c:v>
                </c:pt>
                <c:pt idx="5">
                  <c:v>0.95</c:v>
                </c:pt>
              </c:numCache>
            </c:numRef>
          </c:val>
        </c:ser>
        <c:dLbls>
          <c:showLegendKey val="0"/>
          <c:showVal val="1"/>
          <c:showCatName val="0"/>
          <c:showSerName val="0"/>
          <c:showPercent val="0"/>
          <c:showBubbleSize val="0"/>
        </c:dLbls>
        <c:gapWidth val="150"/>
        <c:overlap val="-25"/>
        <c:axId val="210858368"/>
        <c:axId val="210859904"/>
      </c:barChart>
      <c:catAx>
        <c:axId val="210858368"/>
        <c:scaling>
          <c:orientation val="minMax"/>
        </c:scaling>
        <c:delete val="0"/>
        <c:axPos val="b"/>
        <c:majorTickMark val="none"/>
        <c:minorTickMark val="none"/>
        <c:tickLblPos val="nextTo"/>
        <c:crossAx val="210859904"/>
        <c:crosses val="autoZero"/>
        <c:auto val="1"/>
        <c:lblAlgn val="ctr"/>
        <c:lblOffset val="100"/>
        <c:noMultiLvlLbl val="0"/>
      </c:catAx>
      <c:valAx>
        <c:axId val="210859904"/>
        <c:scaling>
          <c:orientation val="minMax"/>
        </c:scaling>
        <c:delete val="1"/>
        <c:axPos val="l"/>
        <c:numFmt formatCode="0%" sourceLinked="1"/>
        <c:majorTickMark val="out"/>
        <c:minorTickMark val="none"/>
        <c:tickLblPos val="nextTo"/>
        <c:crossAx val="2108583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Perm'!$A$17</c:f>
              <c:strCache>
                <c:ptCount val="1"/>
                <c:pt idx="0">
                  <c:v>Out</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Perm'!$B$17,'Med. Perm'!$C$17,'Med. Perm'!$E$17,'Med. Perm'!$F$17)</c:f>
              <c:numCache>
                <c:formatCode>General</c:formatCode>
                <c:ptCount val="4"/>
                <c:pt idx="0">
                  <c:v>15</c:v>
                </c:pt>
                <c:pt idx="1">
                  <c:v>9.9</c:v>
                </c:pt>
                <c:pt idx="2">
                  <c:v>10</c:v>
                </c:pt>
                <c:pt idx="3">
                  <c:v>2.5</c:v>
                </c:pt>
              </c:numCache>
            </c:numRef>
          </c:val>
        </c:ser>
        <c:dLbls>
          <c:showLegendKey val="0"/>
          <c:showVal val="1"/>
          <c:showCatName val="0"/>
          <c:showSerName val="0"/>
          <c:showPercent val="0"/>
          <c:showBubbleSize val="0"/>
        </c:dLbls>
        <c:gapWidth val="150"/>
        <c:overlap val="-25"/>
        <c:axId val="210881152"/>
        <c:axId val="210891136"/>
      </c:barChart>
      <c:catAx>
        <c:axId val="210881152"/>
        <c:scaling>
          <c:orientation val="minMax"/>
        </c:scaling>
        <c:delete val="0"/>
        <c:axPos val="b"/>
        <c:majorTickMark val="none"/>
        <c:minorTickMark val="none"/>
        <c:tickLblPos val="nextTo"/>
        <c:crossAx val="210891136"/>
        <c:crosses val="autoZero"/>
        <c:auto val="1"/>
        <c:lblAlgn val="ctr"/>
        <c:lblOffset val="100"/>
        <c:noMultiLvlLbl val="0"/>
      </c:catAx>
      <c:valAx>
        <c:axId val="210891136"/>
        <c:scaling>
          <c:orientation val="minMax"/>
        </c:scaling>
        <c:delete val="1"/>
        <c:axPos val="l"/>
        <c:numFmt formatCode="General" sourceLinked="1"/>
        <c:majorTickMark val="out"/>
        <c:minorTickMark val="none"/>
        <c:tickLblPos val="nextTo"/>
        <c:crossAx val="2108811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PSAU!$B$16:$C$16</c:f>
              <c:numCache>
                <c:formatCode>0%</c:formatCode>
                <c:ptCount val="2"/>
                <c:pt idx="0">
                  <c:v>0.8</c:v>
                </c:pt>
                <c:pt idx="1">
                  <c:v>0.92</c:v>
                </c:pt>
              </c:numCache>
            </c:numRef>
          </c:val>
        </c:ser>
        <c:dLbls>
          <c:showLegendKey val="0"/>
          <c:showVal val="1"/>
          <c:showCatName val="0"/>
          <c:showSerName val="0"/>
          <c:showPercent val="0"/>
          <c:showBubbleSize val="0"/>
        </c:dLbls>
        <c:gapWidth val="150"/>
        <c:overlap val="-25"/>
        <c:axId val="210912768"/>
        <c:axId val="210914304"/>
      </c:barChart>
      <c:catAx>
        <c:axId val="210912768"/>
        <c:scaling>
          <c:orientation val="minMax"/>
        </c:scaling>
        <c:delete val="0"/>
        <c:axPos val="b"/>
        <c:majorTickMark val="none"/>
        <c:minorTickMark val="none"/>
        <c:tickLblPos val="nextTo"/>
        <c:crossAx val="210914304"/>
        <c:crosses val="autoZero"/>
        <c:auto val="1"/>
        <c:lblAlgn val="ctr"/>
        <c:lblOffset val="100"/>
        <c:noMultiLvlLbl val="0"/>
      </c:catAx>
      <c:valAx>
        <c:axId val="210914304"/>
        <c:scaling>
          <c:orientation val="minMax"/>
        </c:scaling>
        <c:delete val="1"/>
        <c:axPos val="l"/>
        <c:numFmt formatCode="0%" sourceLinked="1"/>
        <c:majorTickMark val="out"/>
        <c:minorTickMark val="none"/>
        <c:tickLblPos val="nextTo"/>
        <c:crossAx val="2109127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'!$A$15</c:f>
              <c:strCache>
                <c:ptCount val="1"/>
                <c:pt idx="0">
                  <c:v>Jan</c:v>
                </c:pt>
              </c:strCache>
            </c:strRef>
          </c:tx>
          <c:invertIfNegative val="0"/>
          <c:dLbls>
            <c:dLbl>
              <c:idx val="0"/>
              <c:layout/>
              <c:tx>
                <c:rich>
                  <a:bodyPr/>
                  <a:lstStyle/>
                  <a:p>
                    <a:r>
                      <a:rPr lang="en-US"/>
                      <a:t>1,7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'Queda '!$B$14</c:f>
              <c:strCache>
                <c:ptCount val="1"/>
                <c:pt idx="0">
                  <c:v>Incidência de Queda</c:v>
                </c:pt>
              </c:strCache>
            </c:strRef>
          </c:cat>
          <c:val>
            <c:numRef>
              <c:f>'Queda '!$B$15</c:f>
              <c:numCache>
                <c:formatCode>0.0</c:formatCode>
                <c:ptCount val="1"/>
                <c:pt idx="0">
                  <c:v>1.6666666666666667</c:v>
                </c:pt>
              </c:numCache>
            </c:numRef>
          </c:val>
        </c:ser>
        <c:dLbls>
          <c:showLegendKey val="0"/>
          <c:showVal val="1"/>
          <c:showCatName val="0"/>
          <c:showSerName val="0"/>
          <c:showPercent val="0"/>
          <c:showBubbleSize val="0"/>
        </c:dLbls>
        <c:gapWidth val="150"/>
        <c:overlap val="-25"/>
        <c:axId val="210945536"/>
        <c:axId val="210960768"/>
      </c:barChart>
      <c:catAx>
        <c:axId val="210945536"/>
        <c:scaling>
          <c:orientation val="minMax"/>
        </c:scaling>
        <c:delete val="0"/>
        <c:axPos val="b"/>
        <c:majorTickMark val="none"/>
        <c:minorTickMark val="none"/>
        <c:tickLblPos val="nextTo"/>
        <c:crossAx val="210960768"/>
        <c:crosses val="autoZero"/>
        <c:auto val="1"/>
        <c:lblAlgn val="ctr"/>
        <c:lblOffset val="100"/>
        <c:noMultiLvlLbl val="0"/>
      </c:catAx>
      <c:valAx>
        <c:axId val="210960768"/>
        <c:scaling>
          <c:orientation val="minMax"/>
        </c:scaling>
        <c:delete val="1"/>
        <c:axPos val="l"/>
        <c:numFmt formatCode="0.0" sourceLinked="1"/>
        <c:majorTickMark val="out"/>
        <c:minorTickMark val="none"/>
        <c:tickLblPos val="nextTo"/>
        <c:crossAx val="2109455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210982016"/>
        <c:axId val="210983552"/>
      </c:barChart>
      <c:catAx>
        <c:axId val="210982016"/>
        <c:scaling>
          <c:orientation val="minMax"/>
        </c:scaling>
        <c:delete val="0"/>
        <c:axPos val="b"/>
        <c:majorTickMark val="none"/>
        <c:minorTickMark val="none"/>
        <c:tickLblPos val="nextTo"/>
        <c:crossAx val="210983552"/>
        <c:crosses val="autoZero"/>
        <c:auto val="1"/>
        <c:lblAlgn val="ctr"/>
        <c:lblOffset val="100"/>
        <c:noMultiLvlLbl val="0"/>
      </c:catAx>
      <c:valAx>
        <c:axId val="210983552"/>
        <c:scaling>
          <c:orientation val="minMax"/>
        </c:scaling>
        <c:delete val="1"/>
        <c:axPos val="l"/>
        <c:numFmt formatCode="0%" sourceLinked="1"/>
        <c:majorTickMark val="out"/>
        <c:minorTickMark val="none"/>
        <c:tickLblPos val="nextTo"/>
        <c:crossAx val="21098201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2119A-8802-4F24-B626-693CD4E1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2176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2021-09-30T17:55:00Z</dcterms:created>
  <dcterms:modified xsi:type="dcterms:W3CDTF">2023-08-24T17:49:00Z</dcterms:modified>
</cp:coreProperties>
</file>