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02077" w:rsidRDefault="00C34A7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C02077" w:rsidRDefault="00C0207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02077" w:rsidRDefault="00EA6E0A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mso-width-relative:page;mso-height-relative:page" o:gfxdata="UEsDBAoAAAAAAIdO4kAAAAAAAAAAAAAAAAAEAAAAZHJzL1BLAwQUAAAACACHTuJAPB4FvNoAAAAK&#10;AQAADwAAAGRycy9kb3ducmV2LnhtbE2PwU7DMBBE70j8g7VIXFDrJKRxG7LpAQkEt1JQe3UTN4mw&#10;18F20/L3mBMcV/M087ZaX4xmk3J+sISQzhNgihrbDtQhfLw/zZbAfJDUSm1JIXwrD+v6+qqSZWvP&#10;9KambehYLCFfSoQ+hLHk3De9MtLP7agoZkfrjAzxdB1vnTzHcqN5liQFN3KguNDLUT32qvncngzC&#10;Mn+Z9v71frNriqNehTsxPX85xNubNHkAFtQl/MHwqx/VoY5OB3ui1jONMMtEEVGEbCGARWCV5jmw&#10;A8JCCAG8rvj/F+ofUEsDBBQAAAAIAIdO4kA8qUeyGgIAAEMEAAAOAAAAZHJzL2Uyb0RvYy54bWyt&#10;U9uO0zAQfUfiHyy/01xo2G3UdLV0VYS0LEi7fIDjOI2F4zG226R8PWMnW8pFPCD8YHk84+MzZ2bW&#10;N2OvyFFYJ0FXNFuklAjNoZF6X9HPT7tX15Q4z3TDFGhR0ZNw9Gbz8sV6MKXIoQPVCEsQRLtyMBXt&#10;vDdlkjjeiZ65BRih0dmC7ZlH0+6TxrIB0XuV5Gn6JhnANsYCF87h7d3kpJuI37aC+49t64QnqqLI&#10;zcfdxr0Oe7JZs3Jvmekkn2mwf2DRM6nx0zPUHfOMHKz8DaqX3IKD1i849Am0reQi5oDZZOkv2Tx2&#10;zIiYC4rjzFkm9/9g+cPxkyWyqWieXVGiWY9F2jI5MtII8iRGDyQPKg3GlRj8aDDcj29hxGrHjJ25&#10;B/7FEQ3bjum9uLUWhk6wBllm4WVy8XTCcQGkHj5Ag5+xg4cINLa2DxKiKATRsVqnc4WQB+F4WSyz&#10;1VVeUMLR97pIC+yB+Acrn58b6/w7AT0Jh4pabIEIz473zgc6rHwOCb85ULLZSaWiYff1VllyZNgu&#10;u7hm9J/ClCZDRVcFEvk7RBrXnyB66bHvlewren0ZpHRAFLFzZ75BvqDYpJ0f63EuRw3NCYW0MHU1&#10;TiEeOrDfKBmwoyvqvh6YFZSo9xqLscqWyzAC0VgWVzka9tJTX3qY5ghVUU/JdNz6ODaBnoZbLFor&#10;o5yB3sRkLjV2alR5nqowCpd2jPox+5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B4FvNoAAAAK&#10;AQAADwAAAAAAAAABACAAAAAiAAAAZHJzL2Rvd25yZXYueG1sUEsBAhQAFAAAAAgAh07iQDypR7Ia&#10;AgAAQwQAAA4AAAAAAAAAAQAgAAAAKQEAAGRycy9lMm9Eb2MueG1sUEsFBgAAAAAGAAYAWQEAALUF&#10;AAAAAA==&#10;">
            <v:textbox>
              <w:txbxContent>
                <w:p w:rsidR="00C02077" w:rsidRDefault="00C34A79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11º Termo Aditivo ao Contrato de Gestão nº091/2012</w:t>
                  </w:r>
                </w:p>
                <w:p w:rsidR="00C02077" w:rsidRDefault="00C0207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C02077" w:rsidRDefault="00C0207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C02077" w:rsidRDefault="00C34A79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C02077" w:rsidRDefault="00C0207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C02077" w:rsidRDefault="00C0207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C02077" w:rsidRDefault="00C34A79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Março de 2019</w:t>
                  </w:r>
                </w:p>
              </w:txbxContent>
            </v:textbox>
          </v:shape>
        </w:pict>
      </w:r>
    </w:p>
    <w:p w:rsidR="00C02077" w:rsidRDefault="00C0207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02077" w:rsidRDefault="00C0207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02077" w:rsidRDefault="00C0207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C02077" w:rsidRDefault="00C02077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25F83" w:rsidRDefault="00125F83" w:rsidP="00125F8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125F83" w:rsidRDefault="00125F83" w:rsidP="00125F83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Moisés Wanderley </w:t>
      </w:r>
    </w:p>
    <w:p w:rsidR="00125F83" w:rsidRDefault="00125F83" w:rsidP="00125F83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125F83" w:rsidRDefault="00125F83" w:rsidP="00125F8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125F83" w:rsidRDefault="00125F83" w:rsidP="00125F83">
      <w:pP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125F83" w:rsidRDefault="00125F83" w:rsidP="00125F83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125F83" w:rsidRDefault="00125F83" w:rsidP="00125F8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125F83" w:rsidRDefault="00125F83" w:rsidP="00125F83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C02077" w:rsidRDefault="00C02077">
      <w:pPr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C02077" w:rsidRDefault="00C34A79">
          <w:pPr>
            <w:pStyle w:val="CabealhodoSumrio1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Sumário </w:t>
          </w:r>
        </w:p>
        <w:p w:rsidR="00C02077" w:rsidRDefault="00C02077">
          <w:pPr>
            <w:rPr>
              <w:rFonts w:ascii="Arial" w:hAnsi="Arial" w:cs="Arial"/>
            </w:rPr>
          </w:pPr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rFonts w:ascii="Arial" w:hAnsi="Arial" w:cs="Arial"/>
            </w:rPr>
            <w:fldChar w:fldCharType="begin"/>
          </w:r>
          <w:r w:rsidR="00C34A79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4681915" w:history="1">
            <w:r w:rsidR="00C34A79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C34A79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C34A79">
              <w:rPr>
                <w:rStyle w:val="Hyperlink"/>
                <w:rFonts w:ascii="Arial" w:hAnsi="Arial" w:cs="Arial"/>
                <w:noProof/>
              </w:rPr>
              <w:t>SERVIÇOS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C34A79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C34A79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C34A79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C34A79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34A79">
              <w:rPr>
                <w:noProof/>
              </w:rPr>
              <w:instrText xml:space="preserve"> PAGEREF _Toc44681920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60B11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C02077" w:rsidRDefault="00EA6E0A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end"/>
          </w:r>
        </w:p>
      </w:sdtContent>
    </w:sdt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</w:pPr>
    </w:p>
    <w:p w:rsidR="00C02077" w:rsidRDefault="00C02077">
      <w:pPr>
        <w:spacing w:after="0" w:line="360" w:lineRule="auto"/>
        <w:rPr>
          <w:rFonts w:ascii="Arial" w:hAnsi="Arial" w:cs="Arial"/>
        </w:rPr>
        <w:sectPr w:rsidR="00C02077">
          <w:headerReference w:type="default" r:id="rId9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C02077" w:rsidRDefault="00C34A79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02077" w:rsidRDefault="00C0207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Hospital Estadual de Doenças Tropicais Dr.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>
        <w:rPr>
          <w:rFonts w:ascii="Arial" w:hAnsi="Arial" w:cs="Arial"/>
          <w:sz w:val="24"/>
          <w:szCs w:val="24"/>
        </w:rPr>
        <w:t>incto-contagiosas</w:t>
      </w:r>
      <w:proofErr w:type="spellEnd"/>
      <w:r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C02077" w:rsidRDefault="00C02077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C02077" w:rsidRDefault="00C34A79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C02077" w:rsidRDefault="00C02077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C02077" w:rsidRDefault="00C34A79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C02077" w:rsidRDefault="00C0207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 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>
        <w:rPr>
          <w:rStyle w:val="Forte"/>
          <w:rFonts w:ascii="Arial" w:hAnsi="Arial" w:cs="Arial"/>
          <w:color w:val="002060"/>
          <w:sz w:val="24"/>
          <w:szCs w:val="24"/>
        </w:rPr>
        <w:t>Departamento de Ensino e Pesquisa</w:t>
      </w:r>
    </w:p>
    <w:p w:rsidR="00C02077" w:rsidRDefault="00C0207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C34A79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</w:p>
    <w:p w:rsidR="00C02077" w:rsidRDefault="00C34A79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Psicologia, Enfermagem, Nutrição, Fisioterapia, Biomedicina.</w:t>
      </w:r>
    </w:p>
    <w:p w:rsidR="00C02077" w:rsidRDefault="00C02077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34A7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>
        <w:rPr>
          <w:rStyle w:val="Forte"/>
          <w:rFonts w:ascii="Arial" w:hAnsi="Arial" w:cs="Arial"/>
          <w:iCs/>
          <w:color w:val="002060"/>
          <w:sz w:val="24"/>
          <w:szCs w:val="24"/>
        </w:rPr>
        <w:lastRenderedPageBreak/>
        <w:t>Estágios</w:t>
      </w:r>
    </w:p>
    <w:p w:rsidR="00C02077" w:rsidRDefault="00C02077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Casa, UFG,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C02077" w:rsidRDefault="00C34A7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2077" w:rsidRDefault="00C0207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02077" w:rsidRDefault="00C0207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02077" w:rsidRDefault="00C0207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02077" w:rsidRDefault="00C34A79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C02077" w:rsidRDefault="00C0207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Acolhimento e respeito a todos os usuários;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Gestão inovadora;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Ética e confiabilidade;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Comunicação e transparência;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Qualidade e segurança;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Sustentabilidade econômica e ambiental;</w:t>
      </w:r>
    </w:p>
    <w:p w:rsidR="00C02077" w:rsidRDefault="00C34A7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Entusiasmo e espírito de equipe.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assistência prestada durante a hospitalização envolvente o conjunto de atendimentos ofertados ao paciente desde a sua admissão na emergência até a alta hospitalar, compreende os atendimentos oferecidos e procedimentos indispensáveis para conclusão diagnóstica e as terapêuticas imprescindíveis para a melhora e tratamento no âmbito hospitalar. 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às patologias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E é por este motivo que o número de leitos ocupados nunca será o mesmo número de pacientes internados, pois por vezes temos enfermarias (com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2077" w:rsidRDefault="00C02077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C02077" w:rsidRDefault="00C34A7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Adulta: é composta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C02077" w:rsidRDefault="00C34A7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Pediátrica: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C02077" w:rsidRDefault="00C34A7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Emergência: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 (6 leitos) para pacientes em observação, e 3 consultórios de atendimento,</w:t>
      </w:r>
    </w:p>
    <w:p w:rsidR="00C02077" w:rsidRDefault="00C34A7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U. I. Adulto é dividida em Ala A Adulto 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C02077" w:rsidRDefault="00C34A7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dia: possui 10 poltronas para atendimento.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EA6E0A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 id="_x0000_s1028" type="#_x0000_t202" style="position:absolute;left:0;text-align:left;margin-left:257.9pt;margin-top:212.7pt;width:170.3pt;height:23.1pt;z-index:251661312;mso-width-relative:page;mso-height-relative:page" o:gfxdata="UEsDBAoAAAAAAIdO4kAAAAAAAAAAAAAAAAAEAAAAZHJzL1BLAwQUAAAACACHTuJAKpbcm9kAAAAL&#10;AQAADwAAAGRycy9kb3ducmV2LnhtbE2PzU7DMBCE70i8g7VIXBB1UsVJCXEqgQTi2p8H2MRuEhGv&#10;o9ht2rdnOcFtd3Y08221vbpRXOwcBk8a0lUCwlLrzUCdhuPh43kDIkQkg6Mnq+FmA2zr+7sKS+MX&#10;2tnLPnaCQyiUqKGPcSqlDG1vHYaVnyzx7eRnh5HXuZNmxoXD3SjXSZJLhwNxQ4+Tfe9t+70/Ow2n&#10;r+VJvSzNZzwWuyx/w6Fo/E3rx4c0eQUR7TX+meEXn9GhZqbGn8kEMWpQqWL0qCFbqwwEOzYq56Fh&#10;pUhzkHUl//9Q/wBQSwMEFAAAAAgAh07iQGpX48ybAQAALgMAAA4AAABkcnMvZTJvRG9jLnhtbK1S&#10;wW4bIRC9R+o/IO419qZK05XXkZLIuVRtpKQfgIHdRQIGDcS7/vsO2HGa9lZlDyzMvHnMm8f6ZvaO&#10;7Q0mC6Hjq8WSMxMUaBuGjv963n6+5ixlGbR0EEzHDybxm82ni/UUW9PACE4bZEQSUjvFjo85x1aI&#10;pEbjZVpANIGSPaCXmY44CI1yInbvRLNcXokJUEcEZVKi6P0xyTeVv++Nyj/7PpnMXMept1xXrOuu&#10;rGKzlu2AMo5WndqQ/9GFlzbQpWeqe5kle0H7D5W3CiFBnxcKvIC+t8pUDaRmtfxLzdMoo6laaDgp&#10;nseUPo5W/dg/IrO64w1nQXqy6E7aWTJtWDZzBvalzGiKqSXoUyRwnm9hJq9f44mCRfrcoy9/EsUo&#10;T9M+nCdMTExRsFldNdcrSinKNd8uL79WC8RbdcSUHwx4VjYdR3KwDlbuv6dMnRD0FVIuS+Cs3lrn&#10;6gGH3Z1Dtpfk9rZ+pUkqeQdzoYADlLJjukRE0XjUUnZ53s0n4TvQB9L9EtEOI/VUlVc4mVLpTw+o&#10;uP7nuZK+PfP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qW3JvZAAAACwEAAA8AAAAAAAAAAQAg&#10;AAAAIgAAAGRycy9kb3ducmV2LnhtbFBLAQIUABQAAAAIAIdO4kBqV+PMmwEAAC4DAAAOAAAAAAAA&#10;AAEAIAAAACgBAABkcnMvZTJvRG9jLnhtbFBLBQYAAAAABgAGAFkBAAA1BQAAAAA=&#10;" stroked="f">
            <v:textbox>
              <w:txbxContent>
                <w:p w:rsidR="00C02077" w:rsidRDefault="00C34A79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C02077" w:rsidRDefault="00C0207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C02077" w:rsidRDefault="00C0207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C02077" w:rsidRDefault="00C02077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2077" w:rsidRDefault="00C34A79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  <w:r w:rsidR="00EA6E0A" w:rsidRPr="00EA6E0A">
        <w:rPr>
          <w:rFonts w:ascii="Arial" w:hAnsi="Arial" w:cs="Arial"/>
          <w:b/>
          <w:bCs/>
          <w:color w:val="000000" w:themeColor="text1"/>
          <w:sz w:val="24"/>
          <w:szCs w:val="24"/>
          <w:lang w:eastAsia="pt-BR"/>
        </w:rPr>
        <w:pict>
          <v:shape id="Caixa de texto 11" o:spid="_x0000_s1027" type="#_x0000_t202" style="position:absolute;left:0;text-align:left;margin-left:254.15pt;margin-top:220.05pt;width:170.3pt;height:23.1pt;z-index:251665408;mso-position-horizontal-relative:text;mso-position-vertical-relative:text;mso-width-relative:page;mso-height-relative:page" o:gfxdata="UEsDBAoAAAAAAIdO4kAAAAAAAAAAAAAAAAAEAAAAZHJzL1BLAwQUAAAACACHTuJASLxIWtkAAAAL&#10;AQAADwAAAGRycy9kb3ducmV2LnhtbE2Py07DMBBF90j8gzVIbBC1Q9M0DXEqgQRi28cHTGI3iYjH&#10;Uew27d8zrGA5M0d3zi23VzeIi51C70lDslAgLDXe9NRqOB4+nnMQISIZHDxZDTcbYFvd35VYGD/T&#10;zl72sRUcQqFADV2MYyFlaDrrMCz8aIlvJz85jDxOrTQTzhzuBvmiVCYd9sQfOhzte2eb7/3ZaTh9&#10;zU+rzVx/xuN6l2Zv2K9rf9P68SFRryCivcY/GH71WR0qdqr9mUwQg4aVypeMakhTlYBgIk/zDYia&#10;N3m2BFmV8n+H6gdQSwMEFAAAAAgAh07iQH4iK+2cAQAALwMAAA4AAABkcnMvZTJvRG9jLnhtbK1S&#10;TW/cIBC9V+p/QNy7rB01Ta31Rkqi7aVqKyX9ASxgGwkYNJC19993YDebftyq+IBh5s1j3jw2t4t3&#10;7GAwWQg9b1ZrzkxQoG0Ye/7zaffhhrOUZdDSQTA9P5rEb7fv323m2JkWJnDaICOSkLo59nzKOXZC&#10;JDUZL9MKogmUHAC9zHTEUWiUM7F7J9r1+lrMgDoiKJMSRR9OSb6t/MNgVP4+DMlk5npOveW6Yl33&#10;ZRXbjexGlHGy6tyG/I8uvLSBLr1QPcgs2TPaf6i8VQgJhrxS4AUMg1WmaiA1zfovNY+TjKZqoeGk&#10;eBlTejta9e3wA5nVPf/IWZCeLLqXdpFMG5bNkoE1TRnSHFNH2MdI6LzcwUJmv8QTBYv2ZUBf/qSK&#10;UZ7GfbyMmKiYomDbXLc3DaUU5drPV1efqgfitTpiyl8MeFY2PUeysE5WHr6mTJ0Q9AVSLkvgrN5Z&#10;5+oBx/29Q3aQZPeufqVJKvkD5kIBByhlp3SJiKLxpKXs8rJfzsL3oI+k+zmiHSfqqSqvcHKl0p9f&#10;ULH993MlfX3n2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IvEha2QAAAAsBAAAPAAAAAAAAAAEA&#10;IAAAACIAAABkcnMvZG93bnJldi54bWxQSwECFAAUAAAACACHTuJAfiIr7ZwBAAAvAwAADgAAAAAA&#10;AAABACAAAAAoAQAAZHJzL2Uyb0RvYy54bWxQSwUGAAAAAAYABgBZAQAANgUAAAAA&#10;" stroked="f">
            <v:textbox>
              <w:txbxContent>
                <w:p w:rsidR="00C02077" w:rsidRDefault="00C34A79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C02077" w:rsidRDefault="00C02077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2077" w:rsidRDefault="00C34A79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Centro Cirúrgico do HDT possui 03 salas, sendo uma exclusiva para a realização de exames diagnósticos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C02077" w:rsidRDefault="00C02077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>
        <w:rPr>
          <w:rFonts w:ascii="Arial" w:hAnsi="Arial" w:cs="Arial"/>
          <w:sz w:val="24"/>
          <w:szCs w:val="24"/>
        </w:rPr>
        <w:t>baixa</w:t>
      </w:r>
      <w:proofErr w:type="gramEnd"/>
      <w:r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C02077" w:rsidRDefault="00C0207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atendimento ambulatorial abrange:</w:t>
      </w:r>
    </w:p>
    <w:p w:rsidR="00C02077" w:rsidRDefault="00C34A79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egresso;</w:t>
      </w:r>
    </w:p>
    <w:p w:rsidR="00C02077" w:rsidRDefault="00C34A79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C02077" w:rsidRDefault="00C34A79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C02077" w:rsidRDefault="00C02077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quando o paciente é encaminhado pela própria instituição para acompanhamento ambulatorial, tendo sua consulta agendada no momento da alta hospitalar, para atendimento a especialidade referida.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consulta subsequente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C02077" w:rsidRDefault="00C34A79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(psicologia).</w:t>
      </w:r>
    </w:p>
    <w:p w:rsidR="00C02077" w:rsidRDefault="00C0207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4445" t="4445" r="5080" b="14605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C02077" w:rsidRDefault="00C02077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SERVIÇOS DE APOIO DIAGNOSTICO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Serviço de Apoio Diagnóstico e Terapêutico é uma modalidade de prestação de serviços que auxilia o diagnóstico ou realiza procedimentos terapêuticos através de exames complementares, sejam exames laboratoriais como exames de imagem. </w:t>
      </w:r>
    </w:p>
    <w:p w:rsidR="00C02077" w:rsidRDefault="00C34A79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pacientes: exames de imagem (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C02077" w:rsidRDefault="00C34A79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C02077" w:rsidRDefault="00C34A79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C02077" w:rsidRDefault="00C34A79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paciente e custos ao sistema de saúde.</w:t>
      </w:r>
    </w:p>
    <w:p w:rsidR="00C02077" w:rsidRDefault="00C02077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C02077" w:rsidRDefault="00C02077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077" w:rsidRDefault="00C02077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C02077" w:rsidRDefault="00C02077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C02077" w:rsidRDefault="00C02077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rPr>
          <w:rFonts w:ascii="Arial" w:hAnsi="Arial" w:cs="Arial"/>
          <w:color w:val="002060"/>
          <w:sz w:val="36"/>
          <w:szCs w:val="36"/>
        </w:rPr>
      </w:pPr>
    </w:p>
    <w:p w:rsidR="00C02077" w:rsidRDefault="00C02077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4681919"/>
    </w:p>
    <w:p w:rsidR="00C02077" w:rsidRDefault="00C34A79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4"/>
    </w:p>
    <w:p w:rsidR="00C02077" w:rsidRDefault="00C02077"/>
    <w:p w:rsidR="00C02077" w:rsidRDefault="00C34A7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C02077" w:rsidRDefault="00C02077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C02077" w:rsidTr="00C02077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C02077" w:rsidRDefault="00C34A7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C02077" w:rsidRDefault="00C34A79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C02077" w:rsidRDefault="00C34A79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03/2019</w:t>
            </w:r>
          </w:p>
        </w:tc>
      </w:tr>
      <w:tr w:rsidR="00C02077" w:rsidTr="00C02077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255</w:t>
            </w:r>
          </w:p>
        </w:tc>
      </w:tr>
      <w:tr w:rsidR="00C02077" w:rsidTr="00C02077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C02077" w:rsidRDefault="00C34A79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705</w:t>
            </w:r>
          </w:p>
        </w:tc>
      </w:tr>
      <w:tr w:rsidR="00C02077" w:rsidTr="00C02077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307</w:t>
            </w:r>
          </w:p>
        </w:tc>
      </w:tr>
      <w:tr w:rsidR="00C02077" w:rsidTr="00C02077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C02077" w:rsidRDefault="00C34A79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C02077" w:rsidRDefault="00C34A79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3.549</w:t>
            </w:r>
          </w:p>
        </w:tc>
      </w:tr>
    </w:tbl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C02077" w:rsidRDefault="00C02077">
      <w:pPr>
        <w:jc w:val="right"/>
        <w:rPr>
          <w:i/>
          <w:sz w:val="18"/>
          <w:szCs w:val="18"/>
        </w:rPr>
      </w:pPr>
    </w:p>
    <w:p w:rsidR="00C02077" w:rsidRDefault="00C34A79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bookmarkStart w:id="5" w:name="_GoBack"/>
      <w:r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5"/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C02077" w:rsidRDefault="00C0207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ANÁLISE CRÍTICA DOS RESULTADOS ALCANÇADOS</w:t>
      </w:r>
    </w:p>
    <w:p w:rsidR="00C02077" w:rsidRDefault="00C02077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C02077" w:rsidRDefault="00C02077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C02077" w:rsidRDefault="00C34A79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C02077" w:rsidRDefault="00C0207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está trabalhando para melhor adesão dos protocolos clínicos da unidade, redimensionamentos, objetivando melhorar o giro de leitos das unidades de internação para que a emergência possa ter vaga para atender mais pacientes.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C02077" w:rsidRDefault="00C0207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Hospital Dia estamos sempre acima da Meta contratada. É um setor destinado a pacientes que necessitam de administrar medicações endovenosas, porém sem a obrigatoriedade de uma internação hospitalar.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C02077" w:rsidRDefault="00C02077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C02077" w:rsidRDefault="00C34A79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analisado no Ambulatório temos as consultas médicas e </w:t>
      </w:r>
      <w:proofErr w:type="gramStart"/>
      <w:r>
        <w:rPr>
          <w:rFonts w:ascii="Arial" w:hAnsi="Arial" w:cs="Arial"/>
          <w:sz w:val="24"/>
          <w:szCs w:val="24"/>
        </w:rPr>
        <w:t>as não</w:t>
      </w:r>
      <w:proofErr w:type="gramEnd"/>
      <w:r>
        <w:rPr>
          <w:rFonts w:ascii="Arial" w:hAnsi="Arial" w:cs="Arial"/>
          <w:sz w:val="24"/>
          <w:szCs w:val="24"/>
        </w:rPr>
        <w:t xml:space="preserve"> médicas (adesão – psicologia e farmácia clínica). </w:t>
      </w:r>
    </w:p>
    <w:p w:rsidR="00C02077" w:rsidRDefault="00C34A79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Importante resaltar o quantitativo de absenteísmos dos pacientes que não vem na consulta agendada e agenda disponibilizada ao município e que por vezes não tem ocupação em sua totalidade</w:t>
      </w:r>
    </w:p>
    <w:p w:rsidR="00C02077" w:rsidRDefault="00C34A79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 e parcerias estão sendo trabalhadas para facilitar o acesso do paciente ao ambulatório.</w:t>
      </w:r>
    </w:p>
    <w:p w:rsidR="00C02077" w:rsidRDefault="00C02077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INDICADORES DA PARTE VARIÁVEL DO CONTRATO</w:t>
      </w:r>
    </w:p>
    <w:p w:rsidR="00C02077" w:rsidRDefault="00C02077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C02077" w:rsidRDefault="00C34A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Taxa</w:t>
      </w:r>
      <w:proofErr w:type="gramEnd"/>
      <w:r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Média de Permanência Hospitalar ≤ 10 dias;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C02077" w:rsidRDefault="00C34A79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Famacovigilância</w:t>
      </w:r>
      <w:proofErr w:type="spellEnd"/>
      <w:r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gravidade ≥ 70%.</w:t>
      </w:r>
    </w:p>
    <w:p w:rsidR="00C02077" w:rsidRDefault="00C0207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C02077" w:rsidRDefault="00C0207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Taxa de Ocupação Hospitalar avalia o grau de utilização dos leitos operacionais no hospital como um todo. Mensura o perfil de utilização e gestão do leito operacional no hospital. A gestão eficiente do leito operacional aumenta a oferta de leitos para o sistema de saúde. </w:t>
      </w: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C02077" w:rsidRDefault="00C0207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C02077" w:rsidRDefault="00C0207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i/>
          <w:sz w:val="24"/>
          <w:szCs w:val="24"/>
        </w:rPr>
        <w:t>____</w:t>
      </w:r>
      <w:r>
        <w:rPr>
          <w:rFonts w:ascii="Arial" w:hAnsi="Arial" w:cs="Arial"/>
          <w:i/>
          <w:sz w:val="24"/>
          <w:szCs w:val="24"/>
          <w:u w:val="single"/>
        </w:rPr>
        <w:t xml:space="preserve">Total de Paciente-dia no período_____  </w:t>
      </w:r>
      <w:r>
        <w:rPr>
          <w:rFonts w:ascii="Arial" w:hAnsi="Arial" w:cs="Arial"/>
          <w:i/>
          <w:sz w:val="24"/>
          <w:szCs w:val="24"/>
        </w:rPr>
        <w:t xml:space="preserve">X 100 </w:t>
      </w: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Total de Leitos Operacionais – dia período</w:t>
      </w:r>
    </w:p>
    <w:p w:rsidR="00C02077" w:rsidRDefault="00C0207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C02077" w:rsidRDefault="00C0207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Fórmula:       </w:t>
      </w:r>
      <w:r>
        <w:rPr>
          <w:rFonts w:ascii="Arial" w:hAnsi="Arial" w:cs="Arial"/>
          <w:i/>
          <w:sz w:val="24"/>
          <w:szCs w:val="24"/>
        </w:rPr>
        <w:t>__</w:t>
      </w:r>
      <w:r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C02077" w:rsidRDefault="00C34A7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C02077" w:rsidRDefault="00C0207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C02077" w:rsidRDefault="00C34A79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C02077" w:rsidRDefault="00C02077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02077" w:rsidRDefault="00C0207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gerenciamento de protocolos clínicos pode contribuir para facilitar a gestão da média de permanência hospitalar para as patologias de maior relevância no hospital. 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02077" w:rsidRDefault="00C34A79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C02077" w:rsidRDefault="00C0207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C02077" w:rsidRDefault="00C02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02077" w:rsidRDefault="00C34A79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eastAsia="Times New Roman" w:hAnsi="Arial" w:cs="Arial"/>
          <w:i/>
          <w:u w:val="single"/>
          <w:lang w:eastAsia="pt-BR"/>
        </w:rPr>
        <w:t xml:space="preserve">(1-Taxa de </w:t>
      </w:r>
      <w:proofErr w:type="spellStart"/>
      <w:r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>
        <w:rPr>
          <w:rFonts w:ascii="Arial" w:eastAsia="Times New Roman" w:hAnsi="Arial" w:cs="Arial"/>
          <w:i/>
          <w:u w:val="single"/>
          <w:lang w:eastAsia="pt-BR"/>
        </w:rPr>
        <w:t xml:space="preserve"> operacional global) X Média de Permanência em horas</w:t>
      </w:r>
    </w:p>
    <w:p w:rsidR="00C02077" w:rsidRDefault="00C34A7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>
        <w:rPr>
          <w:rFonts w:ascii="Arial" w:eastAsia="Times New Roman" w:hAnsi="Arial" w:cs="Arial"/>
          <w:i/>
          <w:lang w:eastAsia="pt-BR"/>
        </w:rPr>
        <w:t>Taxa de Ocupação Operacional global</w:t>
      </w:r>
    </w:p>
    <w:p w:rsidR="00C02077" w:rsidRDefault="00C0207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C02077" w:rsidRDefault="00C34A79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19050" t="0" r="1905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02077" w:rsidRDefault="00C34A7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C02077" w:rsidRDefault="00C02077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C02077" w:rsidRDefault="00C34A7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está diretamente ligado à média de permanência e a taxa de ocupação institucional, e por isso pode sofrer interferência em sua variação. </w:t>
      </w:r>
    </w:p>
    <w:p w:rsidR="00C02077" w:rsidRDefault="00C02077">
      <w:pPr>
        <w:spacing w:after="0" w:line="360" w:lineRule="auto"/>
        <w:ind w:left="360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C02077" w:rsidRDefault="00C34A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02077" w:rsidRDefault="00C02077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C02077" w:rsidRDefault="00C34A79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44681920"/>
      <w:r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6"/>
    </w:p>
    <w:p w:rsidR="00C02077" w:rsidRDefault="00C02077"/>
    <w:p w:rsidR="00C02077" w:rsidRPr="00C34A79" w:rsidRDefault="00C34A79" w:rsidP="00C34A7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236747" cy="7537836"/>
            <wp:effectExtent l="19050" t="0" r="2003" b="0"/>
            <wp:docPr id="1" name="Imagem 1" descr="C:\Users\camilacrac\Downloads\WhatsApp Image 2020-06-10 at 10.58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crac\Downloads\WhatsApp Image 2020-06-10 at 10.58.12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53" cy="75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077" w:rsidRPr="00C34A79" w:rsidSect="00A60B11">
      <w:headerReference w:type="default" r:id="rId23"/>
      <w:footerReference w:type="default" r:id="rId24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077" w:rsidRDefault="00C02077" w:rsidP="00C02077">
      <w:pPr>
        <w:spacing w:after="0" w:line="240" w:lineRule="auto"/>
      </w:pPr>
      <w:r>
        <w:separator/>
      </w:r>
    </w:p>
  </w:endnote>
  <w:endnote w:type="continuationSeparator" w:id="0">
    <w:p w:rsidR="00C02077" w:rsidRDefault="00C02077" w:rsidP="00C0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</w:sdtPr>
    <w:sdtContent>
      <w:p w:rsidR="00C02077" w:rsidRDefault="00EA6E0A">
        <w:pPr>
          <w:pStyle w:val="Rodap"/>
          <w:jc w:val="right"/>
        </w:pPr>
        <w:r>
          <w:fldChar w:fldCharType="begin"/>
        </w:r>
        <w:r w:rsidR="00C34A79">
          <w:instrText>PAGE   \* MERGEFORMAT</w:instrText>
        </w:r>
        <w:r>
          <w:fldChar w:fldCharType="separate"/>
        </w:r>
        <w:r w:rsidR="00125F83">
          <w:rPr>
            <w:noProof/>
          </w:rPr>
          <w:t>19</w:t>
        </w:r>
        <w:r>
          <w:fldChar w:fldCharType="end"/>
        </w:r>
      </w:p>
    </w:sdtContent>
  </w:sdt>
  <w:p w:rsidR="00C02077" w:rsidRDefault="00C0207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077" w:rsidRDefault="00C02077" w:rsidP="00C02077">
      <w:pPr>
        <w:spacing w:after="0" w:line="240" w:lineRule="auto"/>
      </w:pPr>
      <w:r>
        <w:separator/>
      </w:r>
    </w:p>
  </w:footnote>
  <w:footnote w:type="continuationSeparator" w:id="0">
    <w:p w:rsidR="00C02077" w:rsidRDefault="00C02077" w:rsidP="00C0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77" w:rsidRDefault="00C34A7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2077" w:rsidRDefault="00C0207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77" w:rsidRDefault="00C34A7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2077" w:rsidRDefault="00C0207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multilevel"/>
    <w:tmpl w:val="0369755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6B3FD1"/>
    <w:multiLevelType w:val="multilevel"/>
    <w:tmpl w:val="126B3F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5184"/>
    <w:multiLevelType w:val="multilevel"/>
    <w:tmpl w:val="1AFB51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836B47"/>
    <w:multiLevelType w:val="multilevel"/>
    <w:tmpl w:val="54836B4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A74BC3"/>
    <w:multiLevelType w:val="multilevel"/>
    <w:tmpl w:val="54A74B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20C66"/>
    <w:multiLevelType w:val="multilevel"/>
    <w:tmpl w:val="67920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447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25F83"/>
    <w:rsid w:val="001363F4"/>
    <w:rsid w:val="00141F99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398B"/>
    <w:rsid w:val="001D014F"/>
    <w:rsid w:val="001E0510"/>
    <w:rsid w:val="001F0B1B"/>
    <w:rsid w:val="00200923"/>
    <w:rsid w:val="0021069F"/>
    <w:rsid w:val="00210B32"/>
    <w:rsid w:val="002432D9"/>
    <w:rsid w:val="0025705F"/>
    <w:rsid w:val="00261CAF"/>
    <w:rsid w:val="0027744B"/>
    <w:rsid w:val="00277558"/>
    <w:rsid w:val="00297C50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7DC2"/>
    <w:rsid w:val="0034152E"/>
    <w:rsid w:val="00344CC1"/>
    <w:rsid w:val="00354CDB"/>
    <w:rsid w:val="00355AA3"/>
    <w:rsid w:val="00364925"/>
    <w:rsid w:val="00371D05"/>
    <w:rsid w:val="003A3FA9"/>
    <w:rsid w:val="003B7143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41111"/>
    <w:rsid w:val="00555219"/>
    <w:rsid w:val="00566268"/>
    <w:rsid w:val="00595709"/>
    <w:rsid w:val="0059725D"/>
    <w:rsid w:val="005A0371"/>
    <w:rsid w:val="005B2F55"/>
    <w:rsid w:val="005B6D25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52B09"/>
    <w:rsid w:val="00667458"/>
    <w:rsid w:val="00672C42"/>
    <w:rsid w:val="00672EC9"/>
    <w:rsid w:val="00682A29"/>
    <w:rsid w:val="00682D93"/>
    <w:rsid w:val="00690AA7"/>
    <w:rsid w:val="00694473"/>
    <w:rsid w:val="006A1A76"/>
    <w:rsid w:val="006A47B7"/>
    <w:rsid w:val="006B5F47"/>
    <w:rsid w:val="006B7D27"/>
    <w:rsid w:val="006C4B89"/>
    <w:rsid w:val="006E09DD"/>
    <w:rsid w:val="006E1D7C"/>
    <w:rsid w:val="006E3CF1"/>
    <w:rsid w:val="00701738"/>
    <w:rsid w:val="00703ADE"/>
    <w:rsid w:val="007122D9"/>
    <w:rsid w:val="00716A20"/>
    <w:rsid w:val="007252AE"/>
    <w:rsid w:val="0073465C"/>
    <w:rsid w:val="00740FE1"/>
    <w:rsid w:val="007440FE"/>
    <w:rsid w:val="0075359B"/>
    <w:rsid w:val="007720F4"/>
    <w:rsid w:val="00782864"/>
    <w:rsid w:val="00785361"/>
    <w:rsid w:val="00794EDD"/>
    <w:rsid w:val="00797F44"/>
    <w:rsid w:val="007B695E"/>
    <w:rsid w:val="007C2A0E"/>
    <w:rsid w:val="007C4756"/>
    <w:rsid w:val="007D15E7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57BBF"/>
    <w:rsid w:val="00964BCE"/>
    <w:rsid w:val="009675DE"/>
    <w:rsid w:val="00972759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C4D05"/>
    <w:rsid w:val="009D5909"/>
    <w:rsid w:val="009D7CAC"/>
    <w:rsid w:val="009E2E13"/>
    <w:rsid w:val="009E7309"/>
    <w:rsid w:val="009F0C0A"/>
    <w:rsid w:val="00A00E18"/>
    <w:rsid w:val="00A05009"/>
    <w:rsid w:val="00A216AF"/>
    <w:rsid w:val="00A27E0F"/>
    <w:rsid w:val="00A40A0F"/>
    <w:rsid w:val="00A53655"/>
    <w:rsid w:val="00A57EE1"/>
    <w:rsid w:val="00A60B11"/>
    <w:rsid w:val="00A7132A"/>
    <w:rsid w:val="00A72AE1"/>
    <w:rsid w:val="00A737BF"/>
    <w:rsid w:val="00A759B9"/>
    <w:rsid w:val="00A9411E"/>
    <w:rsid w:val="00A956FB"/>
    <w:rsid w:val="00A96138"/>
    <w:rsid w:val="00A96E4C"/>
    <w:rsid w:val="00AA002C"/>
    <w:rsid w:val="00AA247D"/>
    <w:rsid w:val="00AA49E1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F4C94"/>
    <w:rsid w:val="00C019CF"/>
    <w:rsid w:val="00C02077"/>
    <w:rsid w:val="00C10014"/>
    <w:rsid w:val="00C1244C"/>
    <w:rsid w:val="00C14B4D"/>
    <w:rsid w:val="00C151F6"/>
    <w:rsid w:val="00C341FF"/>
    <w:rsid w:val="00C3423D"/>
    <w:rsid w:val="00C34A79"/>
    <w:rsid w:val="00C3530E"/>
    <w:rsid w:val="00C41164"/>
    <w:rsid w:val="00C42D6F"/>
    <w:rsid w:val="00C54F9A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49E2"/>
    <w:rsid w:val="00D74D22"/>
    <w:rsid w:val="00D8141C"/>
    <w:rsid w:val="00D82037"/>
    <w:rsid w:val="00D91309"/>
    <w:rsid w:val="00D92144"/>
    <w:rsid w:val="00D97EF1"/>
    <w:rsid w:val="00DA25E6"/>
    <w:rsid w:val="00DB3E31"/>
    <w:rsid w:val="00DB5EAB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A6E0A"/>
    <w:rsid w:val="00EB69CD"/>
    <w:rsid w:val="00EB7825"/>
    <w:rsid w:val="00ED1E6A"/>
    <w:rsid w:val="00EE0611"/>
    <w:rsid w:val="00EE371D"/>
    <w:rsid w:val="00EE3EC5"/>
    <w:rsid w:val="00EE47C1"/>
    <w:rsid w:val="00EF33BE"/>
    <w:rsid w:val="00F211E8"/>
    <w:rsid w:val="00F26452"/>
    <w:rsid w:val="00F33C46"/>
    <w:rsid w:val="00F477EE"/>
    <w:rsid w:val="00F71E8F"/>
    <w:rsid w:val="00F7550D"/>
    <w:rsid w:val="00F75B4C"/>
    <w:rsid w:val="00F76E6C"/>
    <w:rsid w:val="00F8009A"/>
    <w:rsid w:val="00F95E35"/>
    <w:rsid w:val="00F96D7B"/>
    <w:rsid w:val="00FA552F"/>
    <w:rsid w:val="00FB75A2"/>
    <w:rsid w:val="00FD789D"/>
    <w:rsid w:val="00FD7AA6"/>
    <w:rsid w:val="00FF0563"/>
    <w:rsid w:val="00FF6FF2"/>
    <w:rsid w:val="03C9302B"/>
    <w:rsid w:val="0D6C0E90"/>
    <w:rsid w:val="1F905FB2"/>
    <w:rsid w:val="2E925EE4"/>
    <w:rsid w:val="474B4E29"/>
    <w:rsid w:val="497B43CC"/>
    <w:rsid w:val="52EE7B38"/>
    <w:rsid w:val="5CE6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Shading Accent 3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077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C020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C0207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C0207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0207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unhideWhenUsed/>
    <w:qFormat/>
    <w:rsid w:val="00C02077"/>
    <w:pPr>
      <w:spacing w:after="100"/>
    </w:pPr>
  </w:style>
  <w:style w:type="character" w:styleId="Forte">
    <w:name w:val="Strong"/>
    <w:basedOn w:val="Fontepargpadro"/>
    <w:uiPriority w:val="22"/>
    <w:qFormat/>
    <w:rsid w:val="00C02077"/>
    <w:rPr>
      <w:b/>
      <w:bCs/>
    </w:rPr>
  </w:style>
  <w:style w:type="character" w:styleId="nfase">
    <w:name w:val="Emphasis"/>
    <w:basedOn w:val="Fontepargpadro"/>
    <w:uiPriority w:val="20"/>
    <w:qFormat/>
    <w:rsid w:val="00C02077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C0207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qFormat/>
    <w:rsid w:val="00C0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C02077"/>
  </w:style>
  <w:style w:type="character" w:customStyle="1" w:styleId="RodapChar">
    <w:name w:val="Rodapé Char"/>
    <w:basedOn w:val="Fontepargpadro"/>
    <w:link w:val="Rodap"/>
    <w:uiPriority w:val="99"/>
    <w:qFormat/>
    <w:rsid w:val="00C0207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020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2077"/>
    <w:pPr>
      <w:ind w:left="720"/>
      <w:contextualSpacing/>
    </w:pPr>
  </w:style>
  <w:style w:type="table" w:styleId="SombreamentoClaro-nfase3">
    <w:name w:val="Light Shading Accent 3"/>
    <w:basedOn w:val="Tabelanormal"/>
    <w:uiPriority w:val="60"/>
    <w:qFormat/>
    <w:rsid w:val="00C02077"/>
    <w:pPr>
      <w:spacing w:after="0" w:line="240" w:lineRule="auto"/>
    </w:pPr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qFormat/>
    <w:rsid w:val="00C020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C0207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9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27931776"/>
        <c:axId val="84905344"/>
      </c:barChart>
      <c:catAx>
        <c:axId val="2793177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4905344"/>
        <c:crosses val="autoZero"/>
        <c:auto val="1"/>
        <c:lblAlgn val="ctr"/>
        <c:lblOffset val="100"/>
      </c:catAx>
      <c:valAx>
        <c:axId val="849053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27931776"/>
        <c:crosses val="autoZero"/>
        <c:crossBetween val="between"/>
      </c:valAx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pt-BR"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Média de Permanência Hospitalar (em dias) - </a:t>
            </a: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12</c:v>
                </c:pt>
                <c:pt idx="1">
                  <c:v>10</c:v>
                </c:pt>
              </c:numCache>
            </c:numRef>
          </c:val>
        </c:ser>
        <c:dLbls>
          <c:showVal val="1"/>
        </c:dLbls>
        <c:axId val="93436544"/>
        <c:axId val="93417856"/>
      </c:barChart>
      <c:catAx>
        <c:axId val="9343654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417856"/>
        <c:crosses val="autoZero"/>
        <c:auto val="1"/>
        <c:lblAlgn val="ctr"/>
        <c:lblOffset val="100"/>
      </c:catAx>
      <c:valAx>
        <c:axId val="93417856"/>
        <c:scaling>
          <c:orientation val="minMax"/>
        </c:scaling>
        <c:delete val="1"/>
        <c:axPos val="l"/>
        <c:numFmt formatCode="0" sourceLinked="1"/>
        <c:tickLblPos val="none"/>
        <c:crossAx val="9343654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Índice de Intervalo de Substituição de Leitos (em horas) - </a:t>
            </a: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99462365591406"/>
          <c:y val="3.676975945017180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0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axId val="93520256"/>
        <c:axId val="93521792"/>
      </c:barChart>
      <c:catAx>
        <c:axId val="9352025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521792"/>
        <c:crosses val="autoZero"/>
        <c:auto val="1"/>
        <c:lblAlgn val="ctr"/>
        <c:lblOffset val="100"/>
      </c:catAx>
      <c:valAx>
        <c:axId val="93521792"/>
        <c:scaling>
          <c:orientation val="minMax"/>
        </c:scaling>
        <c:delete val="1"/>
        <c:axPos val="l"/>
        <c:numFmt formatCode="0" sourceLinked="1"/>
        <c:tickLblPos val="none"/>
        <c:crossAx val="9352025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 </a:t>
            </a:r>
            <a:r>
              <a:rPr lang="en-US" baseline="0"/>
              <a:t>2019</a:t>
            </a:r>
            <a:endParaRPr lang="en-US"/>
          </a:p>
        </c:rich>
      </c:tx>
      <c:layout>
        <c:manualLayout>
          <c:xMode val="edge"/>
          <c:yMode val="edge"/>
          <c:x val="0.190781563126252"/>
          <c:y val="3.3084577114427915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255</c:v>
                </c:pt>
                <c:pt idx="1">
                  <c:v>79</c:v>
                </c:pt>
                <c:pt idx="2">
                  <c:v>334</c:v>
                </c:pt>
                <c:pt idx="3">
                  <c:v>200</c:v>
                </c:pt>
              </c:numCache>
            </c:numRef>
          </c:val>
        </c:ser>
        <c:dLbls>
          <c:showVal val="1"/>
        </c:dLbls>
        <c:axId val="27983232"/>
        <c:axId val="87073920"/>
      </c:barChart>
      <c:catAx>
        <c:axId val="2798323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7073920"/>
        <c:crosses val="autoZero"/>
        <c:auto val="1"/>
        <c:lblAlgn val="ctr"/>
        <c:lblOffset val="100"/>
      </c:catAx>
      <c:valAx>
        <c:axId val="87073920"/>
        <c:scaling>
          <c:orientation val="minMax"/>
        </c:scaling>
        <c:delete val="1"/>
        <c:axPos val="l"/>
        <c:numFmt formatCode="General" sourceLinked="1"/>
        <c:tickLblPos val="none"/>
        <c:crossAx val="2798323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Atendimentos de Urgência e Emergência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705</c:v>
                </c:pt>
                <c:pt idx="1">
                  <c:v>750</c:v>
                </c:pt>
              </c:numCache>
            </c:numRef>
          </c:val>
        </c:ser>
        <c:dLbls>
          <c:showVal val="1"/>
        </c:dLbls>
        <c:axId val="93045888"/>
        <c:axId val="93047424"/>
      </c:barChart>
      <c:catAx>
        <c:axId val="9304588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047424"/>
        <c:crosses val="autoZero"/>
        <c:auto val="1"/>
        <c:lblAlgn val="ctr"/>
        <c:lblOffset val="100"/>
      </c:catAx>
      <c:valAx>
        <c:axId val="93047424"/>
        <c:scaling>
          <c:orientation val="minMax"/>
        </c:scaling>
        <c:delete val="1"/>
        <c:axPos val="l"/>
        <c:numFmt formatCode="General" sourceLinked="1"/>
        <c:tickLblPos val="none"/>
        <c:crossAx val="9304588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Hospital Dia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35879323031640886"/>
          <c:y val="3.676975945017180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307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axId val="93100672"/>
        <c:axId val="93106560"/>
      </c:barChart>
      <c:catAx>
        <c:axId val="931006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06560"/>
        <c:crosses val="autoZero"/>
        <c:auto val="1"/>
        <c:lblAlgn val="ctr"/>
        <c:lblOffset val="100"/>
      </c:catAx>
      <c:valAx>
        <c:axId val="93106560"/>
        <c:scaling>
          <c:orientation val="minMax"/>
        </c:scaling>
        <c:delete val="1"/>
        <c:axPos val="l"/>
        <c:numFmt formatCode="General" sourceLinked="1"/>
        <c:tickLblPos val="none"/>
        <c:crossAx val="931006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3108808290155397"/>
          <c:y val="2.82666666666667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45</c:v>
                </c:pt>
                <c:pt idx="1">
                  <c:v>12</c:v>
                </c:pt>
                <c:pt idx="2">
                  <c:v>16</c:v>
                </c:pt>
                <c:pt idx="3">
                  <c:v>11</c:v>
                </c:pt>
                <c:pt idx="4">
                  <c:v>4</c:v>
                </c:pt>
                <c:pt idx="5">
                  <c:v>13</c:v>
                </c:pt>
                <c:pt idx="6">
                  <c:v>101</c:v>
                </c:pt>
              </c:numCache>
            </c:numRef>
          </c:val>
        </c:ser>
        <c:dLbls>
          <c:showVal val="1"/>
        </c:dLbls>
        <c:axId val="93172480"/>
        <c:axId val="93174016"/>
      </c:barChart>
      <c:catAx>
        <c:axId val="9317248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74016"/>
        <c:crosses val="autoZero"/>
        <c:auto val="1"/>
        <c:lblAlgn val="ctr"/>
        <c:lblOffset val="100"/>
      </c:catAx>
      <c:valAx>
        <c:axId val="93174016"/>
        <c:scaling>
          <c:orientation val="minMax"/>
        </c:scaling>
        <c:delete val="1"/>
        <c:axPos val="l"/>
        <c:numFmt formatCode="General" sourceLinked="1"/>
        <c:tickLblPos val="none"/>
        <c:crossAx val="9317248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 Ambulatorial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#.##0</c:formatCode>
                <c:ptCount val="4"/>
                <c:pt idx="0">
                  <c:v>3268</c:v>
                </c:pt>
                <c:pt idx="1">
                  <c:v>281</c:v>
                </c:pt>
                <c:pt idx="2">
                  <c:v>3549</c:v>
                </c:pt>
                <c:pt idx="3">
                  <c:v>3700</c:v>
                </c:pt>
              </c:numCache>
            </c:numRef>
          </c:val>
        </c:ser>
        <c:dLbls>
          <c:showVal val="1"/>
        </c:dLbls>
        <c:axId val="93203072"/>
        <c:axId val="93208960"/>
      </c:barChart>
      <c:catAx>
        <c:axId val="932030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208960"/>
        <c:crosses val="autoZero"/>
        <c:auto val="1"/>
        <c:lblAlgn val="ctr"/>
        <c:lblOffset val="100"/>
      </c:catAx>
      <c:valAx>
        <c:axId val="93208960"/>
        <c:scaling>
          <c:orientation val="minMax"/>
        </c:scaling>
        <c:delete val="1"/>
        <c:axPos val="l"/>
        <c:numFmt formatCode="#.##0" sourceLinked="1"/>
        <c:tickLblPos val="none"/>
        <c:crossAx val="932030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SADT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#.##0</c:formatCode>
                <c:ptCount val="9"/>
                <c:pt idx="0">
                  <c:v>17258</c:v>
                </c:pt>
                <c:pt idx="1">
                  <c:v>1548</c:v>
                </c:pt>
                <c:pt idx="2" formatCode="General">
                  <c:v>13</c:v>
                </c:pt>
                <c:pt idx="3" formatCode="General">
                  <c:v>0</c:v>
                </c:pt>
                <c:pt idx="4" formatCode="General">
                  <c:v>29</c:v>
                </c:pt>
                <c:pt idx="5" formatCode="General">
                  <c:v>13</c:v>
                </c:pt>
                <c:pt idx="6" formatCode="General">
                  <c:v>0</c:v>
                </c:pt>
                <c:pt idx="7" formatCode="General">
                  <c:v>0</c:v>
                </c:pt>
                <c:pt idx="8">
                  <c:v>18861</c:v>
                </c:pt>
              </c:numCache>
            </c:numRef>
          </c:val>
        </c:ser>
        <c:dLbls>
          <c:showVal val="1"/>
        </c:dLbls>
        <c:axId val="93290880"/>
        <c:axId val="93292416"/>
      </c:barChart>
      <c:catAx>
        <c:axId val="9329088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292416"/>
        <c:crosses val="autoZero"/>
        <c:auto val="1"/>
        <c:lblAlgn val="ctr"/>
        <c:lblOffset val="100"/>
      </c:catAx>
      <c:valAx>
        <c:axId val="93292416"/>
        <c:scaling>
          <c:orientation val="minMax"/>
        </c:scaling>
        <c:delete val="1"/>
        <c:axPos val="l"/>
        <c:numFmt formatCode="#.##0" sourceLinked="1"/>
        <c:tickLblPos val="none"/>
        <c:crossAx val="9329088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Resultados Alcançados x Metas Contratadas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 </a:t>
            </a:r>
            <a:r>
              <a:rPr lang="en-US" baseline="0"/>
              <a:t>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0</c:formatCode>
                <c:ptCount val="8"/>
                <c:pt idx="0">
                  <c:v>255</c:v>
                </c:pt>
                <c:pt idx="1">
                  <c:v>200</c:v>
                </c:pt>
                <c:pt idx="2">
                  <c:v>705</c:v>
                </c:pt>
                <c:pt idx="3">
                  <c:v>750</c:v>
                </c:pt>
                <c:pt idx="4">
                  <c:v>307</c:v>
                </c:pt>
                <c:pt idx="5">
                  <c:v>100</c:v>
                </c:pt>
                <c:pt idx="6" formatCode="#.##0">
                  <c:v>3549</c:v>
                </c:pt>
                <c:pt idx="7" formatCode="#.##0">
                  <c:v>3700</c:v>
                </c:pt>
              </c:numCache>
            </c:numRef>
          </c:val>
        </c:ser>
        <c:dLbls>
          <c:showVal val="1"/>
        </c:dLbls>
        <c:axId val="93359104"/>
        <c:axId val="93364992"/>
      </c:barChart>
      <c:catAx>
        <c:axId val="9335910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364992"/>
        <c:crosses val="autoZero"/>
        <c:auto val="1"/>
        <c:lblAlgn val="ctr"/>
        <c:lblOffset val="100"/>
      </c:catAx>
      <c:valAx>
        <c:axId val="93364992"/>
        <c:scaling>
          <c:orientation val="minMax"/>
        </c:scaling>
        <c:delete val="1"/>
        <c:axPos val="l"/>
        <c:numFmt formatCode="0" sourceLinked="1"/>
        <c:tickLblPos val="none"/>
        <c:crossAx val="9335910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Taxa de Ocupação Hospitalar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Março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7571743929359812"/>
          <c:y val="3.711340206185572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pt-BR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101%</a:t>
                    </a:r>
                  </a:p>
                </c:rich>
              </c:tx>
              <c:numFmt formatCode="00%" sourceLinked="0"/>
              <c:spPr>
                <a:noFill/>
                <a:ln>
                  <a:noFill/>
                </a:ln>
                <a:effectLst/>
              </c:spPr>
              <c:dLblPos val="outEnd"/>
              <c:showVal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0991905813097866"/>
                      <c:h val="0.1037800687285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1.01</c:v>
                </c:pt>
                <c:pt idx="1">
                  <c:v>0.85000000000000031</c:v>
                </c:pt>
              </c:numCache>
            </c:numRef>
          </c:val>
        </c:ser>
        <c:dLbls>
          <c:showVal val="1"/>
        </c:dLbls>
        <c:axId val="93390336"/>
        <c:axId val="93391872"/>
      </c:barChart>
      <c:catAx>
        <c:axId val="9339033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391872"/>
        <c:crosses val="autoZero"/>
        <c:auto val="1"/>
        <c:lblAlgn val="ctr"/>
        <c:lblOffset val="100"/>
      </c:catAx>
      <c:valAx>
        <c:axId val="93391872"/>
        <c:scaling>
          <c:orientation val="minMax"/>
        </c:scaling>
        <c:delete val="1"/>
        <c:axPos val="l"/>
        <c:numFmt formatCode="0%" sourceLinked="1"/>
        <c:tickLblPos val="none"/>
        <c:crossAx val="9339033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E09F29-525E-4CCB-9409-B09C3FFF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2460</Words>
  <Characters>13284</Characters>
  <Application>Microsoft Office Word</Application>
  <DocSecurity>0</DocSecurity>
  <Lines>110</Lines>
  <Paragraphs>31</Paragraphs>
  <ScaleCrop>false</ScaleCrop>
  <Company>GOL Linhas Aereas Inteligentes</Company>
  <LinksUpToDate>false</LinksUpToDate>
  <CharactersWithSpaces>15713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37</cp:revision>
  <cp:lastPrinted>2019-10-15T20:20:00Z</cp:lastPrinted>
  <dcterms:created xsi:type="dcterms:W3CDTF">2020-07-03T18:22:00Z</dcterms:created>
  <dcterms:modified xsi:type="dcterms:W3CDTF">2020-07-08T16:51:00Z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