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A970EE" w:rsidRDefault="00F6184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</w:p>
    <w:p w:rsidR="00A970EE" w:rsidRDefault="00A970EE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A970EE" w:rsidRDefault="00F41369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76pt;z-index:251659264;mso-width-relative:page;mso-height-relative:page" o:gfxdata="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B4FvNoAAAAK&#10;AQAADwAAAAAAAAABACAAAAAiAAAAZHJzL2Rvd25yZXYueG1sUEsBAhQAFAAAAAgAh07iQDypR7Ia&#10;AgAAQwQAAA4AAAAAAAAAAQAgAAAAKQEAAGRycy9lMm9Eb2MueG1sUEsFBgAAAAAGAAYAWQEAALUF&#10;AAAAAA==&#10;">
            <v:textbox>
              <w:txbxContent>
                <w:p w:rsidR="00A970EE" w:rsidRDefault="00F61847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11º Termo Aditivo ao Contrato de Gestão nº091/2012</w:t>
                  </w:r>
                </w:p>
                <w:p w:rsidR="00A970EE" w:rsidRDefault="00A970EE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970EE" w:rsidRDefault="00A970EE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970EE" w:rsidRDefault="00F61847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A970EE" w:rsidRDefault="00A970EE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970EE" w:rsidRDefault="00A970EE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970EE" w:rsidRDefault="00F61847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Abril de 2019</w:t>
                  </w:r>
                </w:p>
              </w:txbxContent>
            </v:textbox>
          </v:shape>
        </w:pict>
      </w:r>
    </w:p>
    <w:p w:rsidR="00A970EE" w:rsidRDefault="00A970EE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A970EE" w:rsidRDefault="00A970EE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A970EE" w:rsidRDefault="00A970EE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A970EE" w:rsidRDefault="00A970EE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35338" w:rsidRDefault="00135338" w:rsidP="00135338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 Geral: </w:t>
      </w:r>
    </w:p>
    <w:p w:rsidR="00135338" w:rsidRDefault="00135338" w:rsidP="00135338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Moisés Wanderley </w:t>
      </w:r>
    </w:p>
    <w:p w:rsidR="00135338" w:rsidRDefault="00135338" w:rsidP="00135338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135338" w:rsidRDefault="00135338" w:rsidP="00135338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Diretora Técnica:</w:t>
      </w:r>
    </w:p>
    <w:p w:rsidR="00135338" w:rsidRDefault="00135338" w:rsidP="00135338">
      <w:pP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Marina Roriz </w:t>
      </w:r>
    </w:p>
    <w:p w:rsidR="00135338" w:rsidRDefault="00135338" w:rsidP="00135338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135338" w:rsidRDefault="00135338" w:rsidP="00135338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Diretora de Ensino e Pesquisa </w:t>
      </w:r>
    </w:p>
    <w:p w:rsidR="00135338" w:rsidRDefault="00135338" w:rsidP="00135338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Marília Dalva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Turchi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A970EE" w:rsidRDefault="00A970EE">
      <w:pPr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Content>
        <w:p w:rsidR="00A970EE" w:rsidRDefault="00F61847">
          <w:pPr>
            <w:pStyle w:val="CabealhodoSumrio1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Sumário </w:t>
          </w:r>
        </w:p>
        <w:p w:rsidR="00A970EE" w:rsidRDefault="00A970EE">
          <w:pPr>
            <w:rPr>
              <w:rFonts w:ascii="Arial" w:hAnsi="Arial" w:cs="Arial"/>
            </w:rPr>
          </w:pPr>
        </w:p>
        <w:p w:rsidR="00A970EE" w:rsidRDefault="00F41369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rFonts w:ascii="Arial" w:hAnsi="Arial" w:cs="Arial"/>
            </w:rPr>
            <w:fldChar w:fldCharType="begin"/>
          </w:r>
          <w:r w:rsidR="00F61847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44681915" w:history="1">
            <w:r w:rsidR="00F61847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F61847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F61847">
              <w:rPr>
                <w:noProof/>
              </w:rPr>
              <w:instrText xml:space="preserve"> PAGEREF _Toc44681915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F61847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A970EE" w:rsidRDefault="00F41369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6" w:history="1">
            <w:r w:rsidR="00F61847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F61847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F61847">
              <w:rPr>
                <w:noProof/>
              </w:rPr>
              <w:instrText xml:space="preserve"> PAGEREF _Toc44681916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F61847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A970EE" w:rsidRDefault="00F41369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7" w:history="1">
            <w:r w:rsidR="00F61847">
              <w:rPr>
                <w:rStyle w:val="Hyperlink"/>
                <w:rFonts w:ascii="Arial" w:hAnsi="Arial" w:cs="Arial"/>
                <w:noProof/>
              </w:rPr>
              <w:t>SERVIÇOS</w:t>
            </w:r>
            <w:r w:rsidR="00F61847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F61847">
              <w:rPr>
                <w:noProof/>
              </w:rPr>
              <w:instrText xml:space="preserve"> PAGEREF _Toc44681917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F61847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A970EE" w:rsidRDefault="00F41369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8" w:history="1">
            <w:r w:rsidR="00F61847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F61847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F61847">
              <w:rPr>
                <w:noProof/>
              </w:rPr>
              <w:instrText xml:space="preserve"> PAGEREF _Toc44681918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F61847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A970EE" w:rsidRDefault="00F41369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9" w:history="1">
            <w:r w:rsidR="00F61847">
              <w:rPr>
                <w:rStyle w:val="Hyperlink"/>
                <w:rFonts w:ascii="Arial" w:hAnsi="Arial" w:cs="Arial"/>
                <w:noProof/>
              </w:rPr>
              <w:t>METAS DE PRODUÇÃO SEMESTRAL E RESULTADOS ALCANÇADOS</w:t>
            </w:r>
            <w:r w:rsidR="00F61847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F61847">
              <w:rPr>
                <w:noProof/>
              </w:rPr>
              <w:instrText xml:space="preserve"> PAGEREF _Toc44681919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F61847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A970EE" w:rsidRDefault="00F41369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20" w:history="1">
            <w:r w:rsidR="00F61847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F61847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F61847">
              <w:rPr>
                <w:noProof/>
              </w:rPr>
              <w:instrText xml:space="preserve"> PAGEREF _Toc44681920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F61847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A970EE" w:rsidRDefault="00F41369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end"/>
          </w:r>
        </w:p>
      </w:sdtContent>
    </w:sdt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</w:pPr>
    </w:p>
    <w:p w:rsidR="00A970EE" w:rsidRDefault="00A970EE">
      <w:pPr>
        <w:spacing w:after="0" w:line="360" w:lineRule="auto"/>
        <w:rPr>
          <w:rFonts w:ascii="Arial" w:hAnsi="Arial" w:cs="Arial"/>
        </w:rPr>
        <w:sectPr w:rsidR="00A970EE">
          <w:headerReference w:type="default" r:id="rId9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A970EE" w:rsidRDefault="00F61847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468191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A970EE" w:rsidRDefault="00A970EE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Hospital Estadual de Doenças Tropicais Dr.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HDT é uma unidade Terciaria de assistência à saúde de alta complexidade, sendo o perfil especializado em assistência aos portadores de doenças </w:t>
      </w:r>
      <w:proofErr w:type="spellStart"/>
      <w:r>
        <w:rPr>
          <w:rFonts w:ascii="Arial" w:hAnsi="Arial" w:cs="Arial"/>
          <w:sz w:val="24"/>
          <w:szCs w:val="24"/>
        </w:rPr>
        <w:t>incto-contagiosas</w:t>
      </w:r>
      <w:proofErr w:type="spellEnd"/>
      <w:r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e vítimas de acidentes por animais peçonhentos, que são encaminhados a unidade via Central de Regulação do município de Goiânia. Atende ainda por demanda espontânea pacientes com HIV/AIDS (que estão em tratamento na unidade), vítimas de acidentes por animais peçonhentos 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julho de 2012, o hospital é gerido pela organização social Instituto Sócrates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Guanaes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(ISG). Desde então recebeu prêmio no concurso de Humanização - em 2014, obtido em Concurso Cultural do Ministério da Saúde e o Selo de Qualidade da Organização Nacional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Acreditação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(ONA).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F6184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A970EE" w:rsidRDefault="00A970EE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bookmarkStart w:id="1" w:name="_Toc44681916"/>
    </w:p>
    <w:p w:rsidR="00A970EE" w:rsidRDefault="00F61847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A970EE" w:rsidRDefault="00A970EE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A970EE" w:rsidRDefault="00F61847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4681917"/>
      <w:r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HDT oferece atendimento especializado em Infectologia e Dermatologia. As demais especialidades oferecem suporte para os pacientes definidos com o perfil da unidade, e são as seguintes: Clínica Geral, Neurologia, Pneumologia, Psiquiatria, Medicina Intensiva, Cardiologia,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Ginecologia, Nefrologia, Hematologia,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Proctologia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Urologia.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F6184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A970EE" w:rsidRDefault="00A970EE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 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F6184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>
        <w:rPr>
          <w:rStyle w:val="Forte"/>
          <w:rFonts w:ascii="Arial" w:hAnsi="Arial" w:cs="Arial"/>
          <w:color w:val="002060"/>
          <w:sz w:val="24"/>
          <w:szCs w:val="24"/>
        </w:rPr>
        <w:t>Departamento de Ensino e Pesquisa</w:t>
      </w:r>
    </w:p>
    <w:p w:rsidR="00A970EE" w:rsidRDefault="00A970EE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sua fundação, o HDT possui convênio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várias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instituições de ensino para realizar um programa de integração ensino-serviço. Essa parceria possibilita o desenvolvimento dos seguintes trabalhos: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– Leishmaniose, micoses, HIV/AIDS, tuberculose,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hepatites,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hanseníase, controle de infecção hospitalar e psoríase.</w:t>
      </w:r>
    </w:p>
    <w:p w:rsidR="00A970EE" w:rsidRDefault="00F61847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Psicologia, Enfermagem, Nutrição, Fisioterapia, Biomedicina.</w:t>
      </w:r>
    </w:p>
    <w:p w:rsidR="00A970EE" w:rsidRDefault="00A970EE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F6184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>
        <w:rPr>
          <w:rStyle w:val="Forte"/>
          <w:rFonts w:ascii="Arial" w:hAnsi="Arial" w:cs="Arial"/>
          <w:iCs/>
          <w:color w:val="002060"/>
          <w:sz w:val="24"/>
          <w:szCs w:val="24"/>
        </w:rPr>
        <w:t>Estágios</w:t>
      </w:r>
    </w:p>
    <w:p w:rsidR="00A970EE" w:rsidRDefault="00A970EE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Casa, UFG,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A970EE" w:rsidRDefault="00F618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também promove estágio de aperfeiçoamento destinado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à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profissionais da Secretaria Estadual de Saúde para as áreas de infectologia e dermatologia.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970EE" w:rsidRDefault="00A970EE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970EE" w:rsidRDefault="00A970EE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970EE" w:rsidRDefault="00A970EE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970EE" w:rsidRDefault="00F61847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4681918"/>
      <w:r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A970EE" w:rsidRDefault="00A970EE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HDT é uma unidade referencia de assistência à saúde de alta complexidade, especializada em assistência aos portadores de doenças infecciosas, dermatológicas e vítimas de acidentes por animais peçonhentos, que são encaminhados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Nossa missão é garantir a assistência segura ao paciente em infectologia e dermatologia com qualidade, eficiência e excelência, promovendo conhecimento científico, trazendo como valores: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Acolhimento e respeito a todos os usuários;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Gestão inovadora;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Ética e confiabilidade;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Comunicação e transparência;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Qualidade e segurança;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Sustentabilidade econômica e ambiental;</w:t>
      </w:r>
    </w:p>
    <w:p w:rsidR="00A970EE" w:rsidRDefault="00F6184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Entusiasmo e espírito de equipe.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assistência prestada durante a hospitalização envolvente o conjunto de atendimentos ofertados ao paciente desde a sua admissão na emergência até a alta hospitalar, compreende os atendimentos oferecidos e procedimentos indispensáveis para conclusão diagnóstica e as terapêuticas imprescindíveis para a melhora e tratamento no âmbito hospitalar. 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às patologias </w:t>
      </w: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E é por este motivo que o número de leitos ocupados nunca será o mesmo número de pacientes internados, pois por vezes temos enfermarias (com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62600" cy="2828925"/>
            <wp:effectExtent l="0" t="0" r="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70EE" w:rsidRDefault="00A970EE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A970EE" w:rsidRDefault="00F6184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Adulta: é composta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precaução especial – isolamento,</w:t>
      </w:r>
    </w:p>
    <w:p w:rsidR="00A970EE" w:rsidRDefault="00F6184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Pediátrica: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leitos, sendo 2 para isolamento, </w:t>
      </w:r>
    </w:p>
    <w:p w:rsidR="00A970EE" w:rsidRDefault="00F6184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Emergência: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 (6 leitos) para pacientes em observação, e 3 consultórios de atendimento,</w:t>
      </w:r>
    </w:p>
    <w:p w:rsidR="00A970EE" w:rsidRDefault="00F6184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U. I. Adulto é dividida em Ala A Adulto 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(8 leitos), Ala B com 16 enfermarias individuais (16 leitos), Ala C 16 enfermarias duplas (32 leitos), Ala D com 5 enfermarias (7 leitos), Ala E com 4 enfermarias duplas (8 leitos). A U.I pediátrica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(11 leitos),</w:t>
      </w:r>
    </w:p>
    <w:p w:rsidR="00A970EE" w:rsidRDefault="00F6184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dia: possui 10 poltronas para atendimento.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41369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pict>
          <v:shape id="_x0000_s1028" type="#_x0000_t202" style="position:absolute;left:0;text-align:left;margin-left:257.9pt;margin-top:212.7pt;width:170.3pt;height:23.1pt;z-index:251661312;mso-width-relative:page;mso-height-relative:page" o:gfxdata="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qW3JvZAAAACwEAAA8AAAAAAAAAAQAg&#10;AAAAIgAAAGRycy9kb3ducmV2LnhtbFBLAQIUABQAAAAIAIdO4kBqV+PMmwEAAC4DAAAOAAAAAAAA&#10;AAEAIAAAACgBAABkcnMvZTJvRG9jLnhtbFBLBQYAAAAABgAGAFkBAAA1BQAAAAA=&#10;" stroked="f">
            <v:textbox>
              <w:txbxContent>
                <w:p w:rsidR="00A970EE" w:rsidRDefault="00F61847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A970EE" w:rsidRDefault="00A970EE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A970EE" w:rsidRDefault="00A970EE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A970EE" w:rsidRDefault="00A970EE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DE URGÊNICA E EMERGÊNCIA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emergência possui demanda de atendimento regulada e aberta para pacientes HIV, na sua maioria, pacientes que necessitam de atendimento especializado de infectologia e dermatologia e que adentram a unidade muitas vezes em precauções especiais (contato, gotículas ou respiratórias), dessa forma necessitando de isolamento, o que interfere na nossa capacidade de novas admissões, visto que,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paciente ocupa 2 leitos de observação, processo esse que somado a outros eventos, influenciam na nossa produção emergencial.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14900" cy="2657475"/>
            <wp:effectExtent l="19050" t="0" r="19050" b="0"/>
            <wp:docPr id="2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970EE" w:rsidRDefault="00F61847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  <w:r w:rsidR="00F41369" w:rsidRPr="00F41369">
        <w:rPr>
          <w:rFonts w:ascii="Arial" w:hAnsi="Arial" w:cs="Arial"/>
          <w:b/>
          <w:bCs/>
          <w:color w:val="000000" w:themeColor="text1"/>
          <w:sz w:val="24"/>
          <w:szCs w:val="24"/>
          <w:lang w:eastAsia="pt-BR"/>
        </w:rPr>
        <w:pict>
          <v:shape id="Caixa de texto 11" o:spid="_x0000_s1027" type="#_x0000_t202" style="position:absolute;left:0;text-align:left;margin-left:254.15pt;margin-top:220.05pt;width:170.3pt;height:23.1pt;z-index:251665408;mso-position-horizontal-relative:text;mso-position-vertical-relative:text;mso-width-relative:page;mso-height-relative:page" o:gfxdata="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IvEha2QAAAAsBAAAPAAAAAAAAAAEA&#10;IAAAACIAAABkcnMvZG93bnJldi54bWxQSwECFAAUAAAACACHTuJAfiIr7ZwBAAAvAwAADgAAAAAA&#10;AAABACAAAAAoAQAAZHJzL2Uyb0RvYy54bWxQSwUGAAAAAAYABgBZAQAANgUAAAAA&#10;" stroked="f">
            <v:textbox>
              <w:txbxContent>
                <w:p w:rsidR="00A970EE" w:rsidRDefault="00F61847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A970EE" w:rsidRDefault="00A970EE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970EE" w:rsidRDefault="00F61847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CENTRO CIRURGICO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Centro Cirúrgico do HDT possui 03 salas, sendo uma exclusiva para a realização de exames diagnósticos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 punção Lombar) e dois leitos de recuperação pós – anestésica.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4445" t="4445" r="5080" b="14605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A970EE" w:rsidRDefault="00A970EE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Cirúrgico do HDT tem </w:t>
      </w:r>
      <w:proofErr w:type="gramStart"/>
      <w:r>
        <w:rPr>
          <w:rFonts w:ascii="Arial" w:hAnsi="Arial" w:cs="Arial"/>
          <w:sz w:val="24"/>
          <w:szCs w:val="24"/>
        </w:rPr>
        <w:t>baixa</w:t>
      </w:r>
      <w:proofErr w:type="gramEnd"/>
      <w:r>
        <w:rPr>
          <w:rFonts w:ascii="Arial" w:hAnsi="Arial" w:cs="Arial"/>
          <w:sz w:val="24"/>
          <w:szCs w:val="24"/>
        </w:rPr>
        <w:t xml:space="preserve"> demanda e não possui meta contratual, sendo destinado ao atendimento exclusivo dos pacientes internados na instituição.</w:t>
      </w:r>
    </w:p>
    <w:p w:rsidR="00A970EE" w:rsidRDefault="00A970E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atendimento ambulatorial abrange:</w:t>
      </w:r>
    </w:p>
    <w:p w:rsidR="00A970EE" w:rsidRDefault="00F61847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egresso;</w:t>
      </w:r>
    </w:p>
    <w:p w:rsidR="00A970EE" w:rsidRDefault="00F61847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A970EE" w:rsidRDefault="00F61847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A970EE" w:rsidRDefault="00A970EE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visita inicial do paciente encaminhado pela Central de Regulação do Estado ou Município ao Hospital, para atendimento da área de infectologia ou dermatologia.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 de egresso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quando o paciente é encaminhado pela própria instituição para acompanhamento ambulatorial, tendo sua consulta agendada no momento da alta hospitalar, para atendimento a especialidade referida.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interconsulta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consulta realizada por outro profissional de outra especialidade, com solicitação gerada pela própria instituição.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consulta subsequente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são todas as consultas de segmento ambulatorial, decorrentes tanto das consultas oferecidas a rede básica de saúde quanto as subsequentes das interconsultas.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ambulatório do HDT dispõe de várias especialidades para atender seu público, englobando em seu corpo clínico especialidades como: cardiologia, cirurgia torácica, dermatologia,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adulto e pediátrica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, nefrologia, neurologia, ginecologia, hematologia, psiquiatria e tisiologia.</w:t>
      </w:r>
    </w:p>
    <w:p w:rsidR="00A970EE" w:rsidRDefault="00F6184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(psicologia).</w:t>
      </w:r>
    </w:p>
    <w:p w:rsidR="00A970EE" w:rsidRDefault="00A970E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4445" t="4445" r="5080" b="14605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A970EE" w:rsidRDefault="00A970EE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SERVIÇOS DE APOIO DIAGNOSTICO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 TERAPÊUTICO – SADT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Serviço de Apoio Diagnóstico e Terapêutico é uma modalidade de prestação de serviços que auxilia o diagnóstico ou realiza procedimentos terapêuticos através de exames complementares, sejam exames laboratoriais como exames de imagem. </w:t>
      </w:r>
    </w:p>
    <w:p w:rsidR="00A970EE" w:rsidRDefault="00F61847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pacientes: exames de imagem (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raio X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, Tomografia, ultrassonografia),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hepática,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exames laboratoriais de análises clínicas e anatomia patológica.</w:t>
      </w:r>
    </w:p>
    <w:p w:rsidR="00A970EE" w:rsidRDefault="00F61847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proofErr w:type="gramStart"/>
      <w:r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</w:t>
      </w:r>
      <w:proofErr w:type="gram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responsável por auxiliar o médico na detecção de patologias através de exames em materiais biológicos com finalidade de fornecer 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A970EE" w:rsidRDefault="00F61847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Através do estudo de fluidos corporais colhidos do paciente, como por exemplo, sangue, urina, saliva, fezes, esperma, fragmentos de tecido, líquido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</w:rPr>
        <w:t>sinovial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</w:rPr>
        <w:t>, pleural, líquido cefalorraquidiano é possível realizar 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uma grande variedade de exames com diferentes complexidades, como um hemograma, dosagens bioquímicas, dosagens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citopatologia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biópsias, citologia oncótica até diagnóstico de doenças infecciosas, dentre outros. </w:t>
      </w:r>
    </w:p>
    <w:p w:rsidR="00A970EE" w:rsidRDefault="00F61847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>Os exames laboratoriais estão entre os principais e mais utilizados recursos no apoio diagnóstico à prática clínica, o que traz repercussões importantes no cuidado ao paciente e custos ao sistema de saúde.</w:t>
      </w:r>
    </w:p>
    <w:p w:rsidR="00A970EE" w:rsidRDefault="00A970EE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A970EE" w:rsidRDefault="00A970EE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70EE" w:rsidRDefault="00A970EE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A970EE" w:rsidRDefault="00A970EE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A970EE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rPr>
          <w:rFonts w:ascii="Arial" w:hAnsi="Arial" w:cs="Arial"/>
          <w:color w:val="002060"/>
          <w:sz w:val="36"/>
          <w:szCs w:val="36"/>
        </w:rPr>
      </w:pPr>
    </w:p>
    <w:p w:rsidR="00A970EE" w:rsidRDefault="00A970EE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44681919"/>
    </w:p>
    <w:p w:rsidR="00A970EE" w:rsidRDefault="00F61847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METAS DE PRODUÇÃO SEMESTRAL E RESULTADOS ALCANÇADOS</w:t>
      </w:r>
      <w:bookmarkEnd w:id="4"/>
    </w:p>
    <w:p w:rsidR="00A970EE" w:rsidRDefault="00A970EE"/>
    <w:p w:rsidR="00A970EE" w:rsidRDefault="00F61847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A970EE" w:rsidRDefault="00A970E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/>
      </w:tblPr>
      <w:tblGrid>
        <w:gridCol w:w="2302"/>
        <w:gridCol w:w="2303"/>
        <w:gridCol w:w="2303"/>
      </w:tblGrid>
      <w:tr w:rsidR="00A970EE" w:rsidTr="00A970EE">
        <w:trPr>
          <w:cnfStyle w:val="100000000000"/>
          <w:jc w:val="center"/>
        </w:trPr>
        <w:tc>
          <w:tcPr>
            <w:cnfStyle w:val="001000000000"/>
            <w:tcW w:w="2302" w:type="dxa"/>
          </w:tcPr>
          <w:p w:rsidR="00A970EE" w:rsidRDefault="00F61847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A970EE" w:rsidRDefault="00F61847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A970EE" w:rsidRDefault="00F61847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04/2019</w:t>
            </w:r>
          </w:p>
        </w:tc>
      </w:tr>
      <w:tr w:rsidR="00A970EE" w:rsidTr="00A970EE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A970EE" w:rsidRDefault="00F61847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245</w:t>
            </w:r>
          </w:p>
        </w:tc>
      </w:tr>
      <w:tr w:rsidR="00A970EE" w:rsidTr="00A970EE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A970EE" w:rsidRDefault="00F61847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Urgência / Emergência</w:t>
            </w:r>
          </w:p>
        </w:tc>
        <w:tc>
          <w:tcPr>
            <w:tcW w:w="2303" w:type="dxa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750</w:t>
            </w:r>
          </w:p>
        </w:tc>
        <w:tc>
          <w:tcPr>
            <w:tcW w:w="2303" w:type="dxa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755</w:t>
            </w:r>
          </w:p>
        </w:tc>
      </w:tr>
      <w:tr w:rsidR="00A970EE" w:rsidTr="00A970EE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A970EE" w:rsidRDefault="00F61847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299</w:t>
            </w:r>
          </w:p>
        </w:tc>
      </w:tr>
      <w:tr w:rsidR="00A970EE" w:rsidTr="00A970EE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A970EE" w:rsidRDefault="00F61847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3.700</w:t>
            </w:r>
          </w:p>
        </w:tc>
        <w:tc>
          <w:tcPr>
            <w:tcW w:w="2303" w:type="dxa"/>
            <w:vAlign w:val="center"/>
          </w:tcPr>
          <w:p w:rsidR="00A970EE" w:rsidRDefault="00F6184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3.934</w:t>
            </w:r>
          </w:p>
        </w:tc>
      </w:tr>
    </w:tbl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A970EE" w:rsidRDefault="00A970EE">
      <w:pPr>
        <w:jc w:val="right"/>
        <w:rPr>
          <w:i/>
          <w:sz w:val="18"/>
          <w:szCs w:val="18"/>
        </w:rPr>
      </w:pPr>
    </w:p>
    <w:p w:rsidR="00A970EE" w:rsidRDefault="00F61847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  <w:bookmarkStart w:id="5" w:name="_GoBack"/>
      <w:r>
        <w:rPr>
          <w:rFonts w:ascii="Arial" w:hAnsi="Arial" w:cs="Arial"/>
          <w:noProof/>
          <w:color w:val="002060"/>
          <w:sz w:val="36"/>
          <w:szCs w:val="36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5"/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A970EE" w:rsidRDefault="00A970E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ANÁLISE CRÍTICA DOS RESULTADOS ALCANÇADOS</w:t>
      </w:r>
    </w:p>
    <w:p w:rsidR="00A970EE" w:rsidRDefault="00A970EE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A970EE" w:rsidRDefault="00A970EE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A970EE" w:rsidRDefault="00F61847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Atendimento de Urgência e Emergência</w:t>
      </w: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equipe está trabalhando para melhor adesão dos protocolos clínicos da unidade, redimensionamentos, objetivando melhorar o giro de leitos das unidades de internação para que a emergência possa ter vaga para atender mais pacientes.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Hospital Dia estamos sempre acima da Meta contratada. É um setor destinado a pacientes que necessitam de administrar medicações endovenosas, porém sem a obrigatoriedade de uma internação hospitalar.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A970EE" w:rsidRDefault="00F61847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período analisado no Ambulatório temos as consultas médicas e </w:t>
      </w:r>
      <w:proofErr w:type="gramStart"/>
      <w:r>
        <w:rPr>
          <w:rFonts w:ascii="Arial" w:hAnsi="Arial" w:cs="Arial"/>
          <w:sz w:val="24"/>
          <w:szCs w:val="24"/>
        </w:rPr>
        <w:t>as não</w:t>
      </w:r>
      <w:proofErr w:type="gramEnd"/>
      <w:r>
        <w:rPr>
          <w:rFonts w:ascii="Arial" w:hAnsi="Arial" w:cs="Arial"/>
          <w:sz w:val="24"/>
          <w:szCs w:val="24"/>
        </w:rPr>
        <w:t xml:space="preserve"> médicas (adesão – psicologia e farmácia clínica). </w:t>
      </w:r>
    </w:p>
    <w:p w:rsidR="00A970EE" w:rsidRDefault="00F61847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Importante resaltar o quantitativo de absenteísmos dos pacientes que não vem na consulta agendada e agenda disponibilizada ao município e que por vezes não tem ocupação em sua totalidade</w:t>
      </w:r>
    </w:p>
    <w:p w:rsidR="00A970EE" w:rsidRDefault="00F61847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 e parcerias estão sendo trabalhadas para facilitar o acesso do paciente ao ambulatório.</w:t>
      </w:r>
    </w:p>
    <w:p w:rsidR="00A970EE" w:rsidRDefault="00A970EE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INDICADORES DA PARTE VARIÁVEL DO CONTRATO</w:t>
      </w:r>
    </w:p>
    <w:p w:rsidR="00A970EE" w:rsidRDefault="00A970EE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A970EE" w:rsidRDefault="00F618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A970EE" w:rsidRDefault="00F61847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Taxa</w:t>
      </w:r>
      <w:proofErr w:type="gramEnd"/>
      <w:r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A970EE" w:rsidRDefault="00F61847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Média de Permanência Hospitalar ≤ 10 dias;</w:t>
      </w:r>
    </w:p>
    <w:p w:rsidR="00A970EE" w:rsidRDefault="00F61847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Índice de Intervalo de Substituição de leitos ≤ 43%;</w:t>
      </w:r>
    </w:p>
    <w:p w:rsidR="00A970EE" w:rsidRDefault="00F61847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A970EE" w:rsidRDefault="00F61847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A970EE" w:rsidRDefault="00F61847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Famacovigilância</w:t>
      </w:r>
      <w:proofErr w:type="spellEnd"/>
      <w:r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gravidade ≥ 70%.</w:t>
      </w:r>
    </w:p>
    <w:p w:rsidR="00A970EE" w:rsidRDefault="00A970E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A970EE" w:rsidRDefault="00A970EE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Taxa de Ocupação Hospitalar avalia o grau de utilização dos leitos operacionais no hospital como um todo. Mensura o perfil de utilização e gestão do leito operacional no hospital. A gestão eficiente do leito operacional aumenta a oferta de leitos para o sistema de saúde. </w:t>
      </w: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A970EE" w:rsidRDefault="00A970EE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A970EE" w:rsidRDefault="00A970EE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Fórmula: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i/>
          <w:sz w:val="24"/>
          <w:szCs w:val="24"/>
        </w:rPr>
        <w:t>____</w:t>
      </w:r>
      <w:r>
        <w:rPr>
          <w:rFonts w:ascii="Arial" w:hAnsi="Arial" w:cs="Arial"/>
          <w:i/>
          <w:sz w:val="24"/>
          <w:szCs w:val="24"/>
          <w:u w:val="single"/>
        </w:rPr>
        <w:t xml:space="preserve">Total de Paciente-dia no período_____  </w:t>
      </w:r>
      <w:r>
        <w:rPr>
          <w:rFonts w:ascii="Arial" w:hAnsi="Arial" w:cs="Arial"/>
          <w:i/>
          <w:sz w:val="24"/>
          <w:szCs w:val="24"/>
        </w:rPr>
        <w:t xml:space="preserve">X 100 </w:t>
      </w:r>
    </w:p>
    <w:p w:rsidR="00A970EE" w:rsidRDefault="00F6184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Total de Leitos Operacionais – dia período</w:t>
      </w:r>
    </w:p>
    <w:p w:rsidR="00A970EE" w:rsidRDefault="00A970EE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A970EE" w:rsidRDefault="00F61847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A970EE" w:rsidRDefault="00F61847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Representa o tempo médio em dias que os pacientes permanecem internados no hospital. Está relacionado a boas práticas clínicas, é um indicador clássico de desempenho hospitalar e está relacionado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A970EE" w:rsidRDefault="00A970EE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Fórmula:       </w:t>
      </w:r>
      <w:r>
        <w:rPr>
          <w:rFonts w:ascii="Arial" w:hAnsi="Arial" w:cs="Arial"/>
          <w:i/>
          <w:sz w:val="24"/>
          <w:szCs w:val="24"/>
        </w:rPr>
        <w:t>__</w:t>
      </w:r>
      <w:r>
        <w:rPr>
          <w:rFonts w:ascii="Arial" w:hAnsi="Arial" w:cs="Arial"/>
          <w:i/>
          <w:sz w:val="24"/>
          <w:szCs w:val="24"/>
          <w:u w:val="single"/>
        </w:rPr>
        <w:t>Total de paciente – dia no período__</w:t>
      </w:r>
      <w:proofErr w:type="gramStart"/>
      <w:r>
        <w:rPr>
          <w:rFonts w:ascii="Arial" w:hAnsi="Arial" w:cs="Arial"/>
          <w:i/>
          <w:sz w:val="24"/>
          <w:szCs w:val="24"/>
          <w:u w:val="single"/>
        </w:rPr>
        <w:t xml:space="preserve">  </w:t>
      </w:r>
    </w:p>
    <w:p w:rsidR="00A970EE" w:rsidRDefault="00F61847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gram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A970EE" w:rsidRDefault="00A970EE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A970EE" w:rsidRDefault="00F61847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A970EE" w:rsidRDefault="00A970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970EE" w:rsidRDefault="00A970E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gerenciamento de protocolos clínicos pode contribuir para facilitar a gestão da média de permanência hospitalar para as patologias de maior relevância no hospital. 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0EE" w:rsidRDefault="00F61847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A970EE" w:rsidRDefault="00A970EE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970EE" w:rsidRDefault="00F61847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eastAsia="Times New Roman" w:hAnsi="Arial" w:cs="Arial"/>
          <w:i/>
          <w:u w:val="single"/>
          <w:lang w:eastAsia="pt-BR"/>
        </w:rPr>
        <w:t xml:space="preserve">(1-Taxa de </w:t>
      </w:r>
      <w:proofErr w:type="spellStart"/>
      <w:r>
        <w:rPr>
          <w:rFonts w:ascii="Arial" w:eastAsia="Times New Roman" w:hAnsi="Arial" w:cs="Arial"/>
          <w:i/>
          <w:u w:val="single"/>
          <w:lang w:eastAsia="pt-BR"/>
        </w:rPr>
        <w:t>ocupaçã</w:t>
      </w:r>
      <w:proofErr w:type="spellEnd"/>
      <w:r>
        <w:rPr>
          <w:rFonts w:ascii="Arial" w:eastAsia="Times New Roman" w:hAnsi="Arial" w:cs="Arial"/>
          <w:i/>
          <w:u w:val="single"/>
          <w:lang w:eastAsia="pt-BR"/>
        </w:rPr>
        <w:t xml:space="preserve"> operacional global) X Média de Permanência em horas</w:t>
      </w:r>
    </w:p>
    <w:p w:rsidR="00A970EE" w:rsidRDefault="00F6184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>
        <w:rPr>
          <w:rFonts w:ascii="Arial" w:eastAsia="Times New Roman" w:hAnsi="Arial" w:cs="Arial"/>
          <w:i/>
          <w:lang w:eastAsia="pt-BR"/>
        </w:rPr>
        <w:t>Taxa de Ocupação Operacional global</w:t>
      </w:r>
    </w:p>
    <w:p w:rsidR="00A970EE" w:rsidRDefault="00A970E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A970EE" w:rsidRDefault="00F61847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4400" cy="1847850"/>
            <wp:effectExtent l="19050" t="0" r="19050" b="0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970EE" w:rsidRDefault="00F61847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A970EE" w:rsidRDefault="00A970EE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A970EE" w:rsidRDefault="00F6184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indicador está diretamente ligado à média de permanência e a taxa de ocupação institucional, e por isso pode sofrer interferência em sua variação. </w:t>
      </w:r>
    </w:p>
    <w:p w:rsidR="00A970EE" w:rsidRDefault="00A970E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A970EE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A970EE" w:rsidRDefault="00F618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970EE" w:rsidRDefault="00A970EE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A970EE" w:rsidRDefault="00F61847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44681920"/>
      <w:r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6"/>
    </w:p>
    <w:p w:rsidR="00A970EE" w:rsidRDefault="00A970EE">
      <w:pPr>
        <w:rPr>
          <w:rFonts w:ascii="Arial" w:hAnsi="Arial" w:cs="Arial"/>
          <w:color w:val="FF0000"/>
          <w:sz w:val="24"/>
          <w:szCs w:val="24"/>
        </w:rPr>
      </w:pPr>
    </w:p>
    <w:p w:rsidR="00A970EE" w:rsidRDefault="00F61847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266055" cy="7537450"/>
            <wp:effectExtent l="19050" t="0" r="0" b="0"/>
            <wp:docPr id="2" name="Imagem 1" descr="C:\Users\camilacrac\Downloads\WhatsApp Image 2020-06-10 at 10.5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:\Users\camilacrac\Downloads\WhatsApp Image 2020-06-10 at 10.58.24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729" cy="753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0EE" w:rsidSect="00F61847">
      <w:headerReference w:type="default" r:id="rId23"/>
      <w:footerReference w:type="default" r:id="rId24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0EE" w:rsidRDefault="00A970EE" w:rsidP="00A970EE">
      <w:pPr>
        <w:spacing w:after="0" w:line="240" w:lineRule="auto"/>
      </w:pPr>
      <w:r>
        <w:separator/>
      </w:r>
    </w:p>
  </w:endnote>
  <w:endnote w:type="continuationSeparator" w:id="0">
    <w:p w:rsidR="00A970EE" w:rsidRDefault="00A970EE" w:rsidP="00A9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</w:sdtPr>
    <w:sdtContent>
      <w:p w:rsidR="00A970EE" w:rsidRDefault="00F41369">
        <w:pPr>
          <w:pStyle w:val="Rodap"/>
          <w:jc w:val="right"/>
        </w:pPr>
        <w:r>
          <w:fldChar w:fldCharType="begin"/>
        </w:r>
        <w:r w:rsidR="00F61847">
          <w:instrText>PAGE   \* MERGEFORMAT</w:instrText>
        </w:r>
        <w:r>
          <w:fldChar w:fldCharType="separate"/>
        </w:r>
        <w:r w:rsidR="00135338">
          <w:rPr>
            <w:noProof/>
          </w:rPr>
          <w:t>19</w:t>
        </w:r>
        <w:r>
          <w:fldChar w:fldCharType="end"/>
        </w:r>
      </w:p>
    </w:sdtContent>
  </w:sdt>
  <w:p w:rsidR="00A970EE" w:rsidRDefault="00A970E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0EE" w:rsidRDefault="00A970EE" w:rsidP="00A970EE">
      <w:pPr>
        <w:spacing w:after="0" w:line="240" w:lineRule="auto"/>
      </w:pPr>
      <w:r>
        <w:separator/>
      </w:r>
    </w:p>
  </w:footnote>
  <w:footnote w:type="continuationSeparator" w:id="0">
    <w:p w:rsidR="00A970EE" w:rsidRDefault="00A970EE" w:rsidP="00A97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EE" w:rsidRDefault="00F6184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3" name="Image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70EE" w:rsidRDefault="00A970E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0EE" w:rsidRDefault="00F6184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70EE" w:rsidRDefault="00A970E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multilevel"/>
    <w:tmpl w:val="0369755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6B3FD1"/>
    <w:multiLevelType w:val="multilevel"/>
    <w:tmpl w:val="126B3FD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5184"/>
    <w:multiLevelType w:val="multilevel"/>
    <w:tmpl w:val="1AFB518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4836B47"/>
    <w:multiLevelType w:val="multilevel"/>
    <w:tmpl w:val="54836B4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A74BC3"/>
    <w:multiLevelType w:val="multilevel"/>
    <w:tmpl w:val="54A74B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20C66"/>
    <w:multiLevelType w:val="multilevel"/>
    <w:tmpl w:val="67920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447"/>
    <w:rsid w:val="00005B31"/>
    <w:rsid w:val="0001256A"/>
    <w:rsid w:val="00014395"/>
    <w:rsid w:val="00024DDB"/>
    <w:rsid w:val="000305F7"/>
    <w:rsid w:val="000320EC"/>
    <w:rsid w:val="0003451C"/>
    <w:rsid w:val="00041579"/>
    <w:rsid w:val="00045D24"/>
    <w:rsid w:val="000548D3"/>
    <w:rsid w:val="0005522C"/>
    <w:rsid w:val="00055927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7156"/>
    <w:rsid w:val="00104CC4"/>
    <w:rsid w:val="001063FB"/>
    <w:rsid w:val="001130C2"/>
    <w:rsid w:val="0011567F"/>
    <w:rsid w:val="00135338"/>
    <w:rsid w:val="001363F4"/>
    <w:rsid w:val="00141F99"/>
    <w:rsid w:val="00147152"/>
    <w:rsid w:val="00151AD5"/>
    <w:rsid w:val="00153B10"/>
    <w:rsid w:val="00157CAD"/>
    <w:rsid w:val="00160C6E"/>
    <w:rsid w:val="00161CBB"/>
    <w:rsid w:val="0016753B"/>
    <w:rsid w:val="0017315C"/>
    <w:rsid w:val="00175141"/>
    <w:rsid w:val="00176E0A"/>
    <w:rsid w:val="001904B2"/>
    <w:rsid w:val="0019433C"/>
    <w:rsid w:val="00196172"/>
    <w:rsid w:val="00197C16"/>
    <w:rsid w:val="001A6D04"/>
    <w:rsid w:val="001C398B"/>
    <w:rsid w:val="001D014F"/>
    <w:rsid w:val="001E0510"/>
    <w:rsid w:val="001F0B1B"/>
    <w:rsid w:val="00200923"/>
    <w:rsid w:val="0021069F"/>
    <w:rsid w:val="00210B32"/>
    <w:rsid w:val="002432D9"/>
    <w:rsid w:val="0025705F"/>
    <w:rsid w:val="00261CAF"/>
    <w:rsid w:val="0027744B"/>
    <w:rsid w:val="00277558"/>
    <w:rsid w:val="00297C50"/>
    <w:rsid w:val="002A2CA9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7DC2"/>
    <w:rsid w:val="0034152E"/>
    <w:rsid w:val="00344CC1"/>
    <w:rsid w:val="00354CDB"/>
    <w:rsid w:val="00355AA3"/>
    <w:rsid w:val="00364925"/>
    <w:rsid w:val="00371D05"/>
    <w:rsid w:val="003A3FA9"/>
    <w:rsid w:val="003B7143"/>
    <w:rsid w:val="003D22D9"/>
    <w:rsid w:val="003D6C5B"/>
    <w:rsid w:val="003E1000"/>
    <w:rsid w:val="003E34AD"/>
    <w:rsid w:val="003F18B8"/>
    <w:rsid w:val="00403D5C"/>
    <w:rsid w:val="0041174D"/>
    <w:rsid w:val="00412042"/>
    <w:rsid w:val="00414848"/>
    <w:rsid w:val="00424D5B"/>
    <w:rsid w:val="00430FF8"/>
    <w:rsid w:val="0046122B"/>
    <w:rsid w:val="00470F00"/>
    <w:rsid w:val="00491E6D"/>
    <w:rsid w:val="004926F2"/>
    <w:rsid w:val="00492D90"/>
    <w:rsid w:val="004943FD"/>
    <w:rsid w:val="004945E2"/>
    <w:rsid w:val="004A039C"/>
    <w:rsid w:val="004A6816"/>
    <w:rsid w:val="004B096C"/>
    <w:rsid w:val="004C05B2"/>
    <w:rsid w:val="004C104C"/>
    <w:rsid w:val="004C1DAB"/>
    <w:rsid w:val="004C5824"/>
    <w:rsid w:val="004D2CEC"/>
    <w:rsid w:val="004E3A1D"/>
    <w:rsid w:val="004F0E4F"/>
    <w:rsid w:val="005007D4"/>
    <w:rsid w:val="00501BDD"/>
    <w:rsid w:val="00502425"/>
    <w:rsid w:val="00510B83"/>
    <w:rsid w:val="00511610"/>
    <w:rsid w:val="005130EE"/>
    <w:rsid w:val="00514ED0"/>
    <w:rsid w:val="0052374D"/>
    <w:rsid w:val="005346CA"/>
    <w:rsid w:val="00536052"/>
    <w:rsid w:val="00536BF5"/>
    <w:rsid w:val="00541111"/>
    <w:rsid w:val="00555219"/>
    <w:rsid w:val="00566268"/>
    <w:rsid w:val="0059725D"/>
    <w:rsid w:val="005A0371"/>
    <w:rsid w:val="005B2F55"/>
    <w:rsid w:val="005B6D25"/>
    <w:rsid w:val="005D141A"/>
    <w:rsid w:val="005D5AD6"/>
    <w:rsid w:val="005F0025"/>
    <w:rsid w:val="005F09FE"/>
    <w:rsid w:val="005F295C"/>
    <w:rsid w:val="005F5621"/>
    <w:rsid w:val="0060213E"/>
    <w:rsid w:val="006047E6"/>
    <w:rsid w:val="00612978"/>
    <w:rsid w:val="006250B8"/>
    <w:rsid w:val="00634BD9"/>
    <w:rsid w:val="00652B09"/>
    <w:rsid w:val="00667458"/>
    <w:rsid w:val="00672C42"/>
    <w:rsid w:val="00672EC9"/>
    <w:rsid w:val="00682A29"/>
    <w:rsid w:val="00682D93"/>
    <w:rsid w:val="00690AA7"/>
    <w:rsid w:val="006A1A76"/>
    <w:rsid w:val="006A47B7"/>
    <w:rsid w:val="006B5F47"/>
    <w:rsid w:val="006B7D27"/>
    <w:rsid w:val="006C4B89"/>
    <w:rsid w:val="006E09DD"/>
    <w:rsid w:val="006E1D7C"/>
    <w:rsid w:val="00701738"/>
    <w:rsid w:val="00703ADE"/>
    <w:rsid w:val="007122D9"/>
    <w:rsid w:val="00716A20"/>
    <w:rsid w:val="007252AE"/>
    <w:rsid w:val="0073465C"/>
    <w:rsid w:val="00740FE1"/>
    <w:rsid w:val="007440FE"/>
    <w:rsid w:val="0075359B"/>
    <w:rsid w:val="007720F4"/>
    <w:rsid w:val="00782864"/>
    <w:rsid w:val="00785361"/>
    <w:rsid w:val="00794EDD"/>
    <w:rsid w:val="00797F44"/>
    <w:rsid w:val="007B695E"/>
    <w:rsid w:val="007C2A0E"/>
    <w:rsid w:val="007C4756"/>
    <w:rsid w:val="007D15E7"/>
    <w:rsid w:val="007D52E4"/>
    <w:rsid w:val="007E5218"/>
    <w:rsid w:val="007F184A"/>
    <w:rsid w:val="007F3083"/>
    <w:rsid w:val="007F6363"/>
    <w:rsid w:val="00801DEF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D29B1"/>
    <w:rsid w:val="008E0811"/>
    <w:rsid w:val="008E27B8"/>
    <w:rsid w:val="008F2141"/>
    <w:rsid w:val="00913666"/>
    <w:rsid w:val="00916A50"/>
    <w:rsid w:val="009253ED"/>
    <w:rsid w:val="00932EFD"/>
    <w:rsid w:val="00946E2F"/>
    <w:rsid w:val="00957BBF"/>
    <w:rsid w:val="00964BCE"/>
    <w:rsid w:val="009675DE"/>
    <w:rsid w:val="00972759"/>
    <w:rsid w:val="00976F20"/>
    <w:rsid w:val="00985619"/>
    <w:rsid w:val="00985830"/>
    <w:rsid w:val="009A6E2B"/>
    <w:rsid w:val="009B0AB6"/>
    <w:rsid w:val="009B0ABA"/>
    <w:rsid w:val="009B25D6"/>
    <w:rsid w:val="009B3F62"/>
    <w:rsid w:val="009B5447"/>
    <w:rsid w:val="009C1EF5"/>
    <w:rsid w:val="009D5909"/>
    <w:rsid w:val="009D7CAC"/>
    <w:rsid w:val="009E2E13"/>
    <w:rsid w:val="009E7309"/>
    <w:rsid w:val="009F0C0A"/>
    <w:rsid w:val="00A00E18"/>
    <w:rsid w:val="00A05009"/>
    <w:rsid w:val="00A216AF"/>
    <w:rsid w:val="00A27E0F"/>
    <w:rsid w:val="00A40A0F"/>
    <w:rsid w:val="00A53655"/>
    <w:rsid w:val="00A57EE1"/>
    <w:rsid w:val="00A7132A"/>
    <w:rsid w:val="00A72AE1"/>
    <w:rsid w:val="00A737BF"/>
    <w:rsid w:val="00A759B9"/>
    <w:rsid w:val="00A9411E"/>
    <w:rsid w:val="00A956FB"/>
    <w:rsid w:val="00A96138"/>
    <w:rsid w:val="00A96E4C"/>
    <w:rsid w:val="00A970EE"/>
    <w:rsid w:val="00AA002C"/>
    <w:rsid w:val="00AA247D"/>
    <w:rsid w:val="00AA49E1"/>
    <w:rsid w:val="00AB204C"/>
    <w:rsid w:val="00AB22E5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7B65"/>
    <w:rsid w:val="00B4764F"/>
    <w:rsid w:val="00B50E84"/>
    <w:rsid w:val="00B51DAA"/>
    <w:rsid w:val="00B574D2"/>
    <w:rsid w:val="00B6256E"/>
    <w:rsid w:val="00B6475A"/>
    <w:rsid w:val="00B7346D"/>
    <w:rsid w:val="00B73B85"/>
    <w:rsid w:val="00B82CD1"/>
    <w:rsid w:val="00B869B0"/>
    <w:rsid w:val="00B92F07"/>
    <w:rsid w:val="00BC4FD4"/>
    <w:rsid w:val="00BC6926"/>
    <w:rsid w:val="00BF4C94"/>
    <w:rsid w:val="00C019CF"/>
    <w:rsid w:val="00C10014"/>
    <w:rsid w:val="00C1244C"/>
    <w:rsid w:val="00C151F6"/>
    <w:rsid w:val="00C341FF"/>
    <w:rsid w:val="00C3423D"/>
    <w:rsid w:val="00C3530E"/>
    <w:rsid w:val="00C41164"/>
    <w:rsid w:val="00C42D6F"/>
    <w:rsid w:val="00C5291C"/>
    <w:rsid w:val="00C54F9A"/>
    <w:rsid w:val="00C61ABA"/>
    <w:rsid w:val="00C64967"/>
    <w:rsid w:val="00C67787"/>
    <w:rsid w:val="00C726A7"/>
    <w:rsid w:val="00C77FBA"/>
    <w:rsid w:val="00C80908"/>
    <w:rsid w:val="00CB2EF5"/>
    <w:rsid w:val="00CB7159"/>
    <w:rsid w:val="00CC1746"/>
    <w:rsid w:val="00CC6068"/>
    <w:rsid w:val="00CD60D8"/>
    <w:rsid w:val="00CE3A9C"/>
    <w:rsid w:val="00D01A7B"/>
    <w:rsid w:val="00D0641E"/>
    <w:rsid w:val="00D10772"/>
    <w:rsid w:val="00D16654"/>
    <w:rsid w:val="00D30F98"/>
    <w:rsid w:val="00D61557"/>
    <w:rsid w:val="00D63D5D"/>
    <w:rsid w:val="00D749E2"/>
    <w:rsid w:val="00D74D22"/>
    <w:rsid w:val="00D8141C"/>
    <w:rsid w:val="00D82037"/>
    <w:rsid w:val="00D91309"/>
    <w:rsid w:val="00D92144"/>
    <w:rsid w:val="00D97EF1"/>
    <w:rsid w:val="00DA25E6"/>
    <w:rsid w:val="00DB3E31"/>
    <w:rsid w:val="00DB5EAB"/>
    <w:rsid w:val="00DB6C72"/>
    <w:rsid w:val="00DB75D9"/>
    <w:rsid w:val="00DC0D0B"/>
    <w:rsid w:val="00DC194B"/>
    <w:rsid w:val="00DC217F"/>
    <w:rsid w:val="00DC394E"/>
    <w:rsid w:val="00DC4704"/>
    <w:rsid w:val="00DC47FA"/>
    <w:rsid w:val="00DF0E8F"/>
    <w:rsid w:val="00E10E13"/>
    <w:rsid w:val="00E24754"/>
    <w:rsid w:val="00E24BC1"/>
    <w:rsid w:val="00E25B1F"/>
    <w:rsid w:val="00E35F48"/>
    <w:rsid w:val="00E3786C"/>
    <w:rsid w:val="00E4122C"/>
    <w:rsid w:val="00E5648D"/>
    <w:rsid w:val="00E6076C"/>
    <w:rsid w:val="00E67B69"/>
    <w:rsid w:val="00E74677"/>
    <w:rsid w:val="00E817EB"/>
    <w:rsid w:val="00E86EA4"/>
    <w:rsid w:val="00EB69CD"/>
    <w:rsid w:val="00EB7825"/>
    <w:rsid w:val="00ED1E6A"/>
    <w:rsid w:val="00EE0611"/>
    <w:rsid w:val="00EE371D"/>
    <w:rsid w:val="00EE3EC5"/>
    <w:rsid w:val="00EE47C1"/>
    <w:rsid w:val="00EF33BE"/>
    <w:rsid w:val="00F211E8"/>
    <w:rsid w:val="00F26452"/>
    <w:rsid w:val="00F33C46"/>
    <w:rsid w:val="00F41369"/>
    <w:rsid w:val="00F477EE"/>
    <w:rsid w:val="00F61847"/>
    <w:rsid w:val="00F71E8F"/>
    <w:rsid w:val="00F7550D"/>
    <w:rsid w:val="00F75B4C"/>
    <w:rsid w:val="00F76E6C"/>
    <w:rsid w:val="00F8009A"/>
    <w:rsid w:val="00F95E35"/>
    <w:rsid w:val="00F96D7B"/>
    <w:rsid w:val="00FA552F"/>
    <w:rsid w:val="00FB75A2"/>
    <w:rsid w:val="00FD789D"/>
    <w:rsid w:val="00FD7AA6"/>
    <w:rsid w:val="00FF0563"/>
    <w:rsid w:val="00FF6FF2"/>
    <w:rsid w:val="0D6C0E90"/>
    <w:rsid w:val="1D485E9D"/>
    <w:rsid w:val="1F905FB2"/>
    <w:rsid w:val="28F52FCE"/>
    <w:rsid w:val="2E925EE4"/>
    <w:rsid w:val="474B4E29"/>
    <w:rsid w:val="49BA2D01"/>
    <w:rsid w:val="52EE7B38"/>
    <w:rsid w:val="66510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Shading Accent 3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0EE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970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A970E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A970EE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970E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uiPriority w:val="39"/>
    <w:unhideWhenUsed/>
    <w:qFormat/>
    <w:rsid w:val="00A970EE"/>
    <w:pPr>
      <w:spacing w:after="100"/>
    </w:pPr>
  </w:style>
  <w:style w:type="character" w:styleId="Forte">
    <w:name w:val="Strong"/>
    <w:basedOn w:val="Fontepargpadro"/>
    <w:uiPriority w:val="22"/>
    <w:qFormat/>
    <w:rsid w:val="00A970EE"/>
    <w:rPr>
      <w:b/>
      <w:bCs/>
    </w:rPr>
  </w:style>
  <w:style w:type="character" w:styleId="nfase">
    <w:name w:val="Emphasis"/>
    <w:basedOn w:val="Fontepargpadro"/>
    <w:uiPriority w:val="20"/>
    <w:qFormat/>
    <w:rsid w:val="00A970EE"/>
    <w:rPr>
      <w:i/>
      <w:iCs/>
    </w:rPr>
  </w:style>
  <w:style w:type="character" w:styleId="Hyperlink">
    <w:name w:val="Hyperlink"/>
    <w:basedOn w:val="Fontepargpadro"/>
    <w:uiPriority w:val="99"/>
    <w:unhideWhenUsed/>
    <w:qFormat/>
    <w:rsid w:val="00A970E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qFormat/>
    <w:rsid w:val="00A97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A970EE"/>
  </w:style>
  <w:style w:type="character" w:customStyle="1" w:styleId="RodapChar">
    <w:name w:val="Rodapé Char"/>
    <w:basedOn w:val="Fontepargpadro"/>
    <w:link w:val="Rodap"/>
    <w:uiPriority w:val="99"/>
    <w:qFormat/>
    <w:rsid w:val="00A970EE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970E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70EE"/>
    <w:pPr>
      <w:ind w:left="720"/>
      <w:contextualSpacing/>
    </w:pPr>
  </w:style>
  <w:style w:type="table" w:styleId="SombreamentoClaro-nfase3">
    <w:name w:val="Light Shading Accent 3"/>
    <w:basedOn w:val="Tabelanormal"/>
    <w:uiPriority w:val="60"/>
    <w:qFormat/>
    <w:rsid w:val="00A970EE"/>
    <w:pPr>
      <w:spacing w:after="0" w:line="240" w:lineRule="auto"/>
    </w:pPr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qFormat/>
    <w:rsid w:val="00A970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A970E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9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Nº de Leitos/ Unidade de Internação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Pt>
            <c:idx val="6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Plan1!$A$3:$A$9</c:f>
              <c:strCache>
                <c:ptCount val="7"/>
                <c:pt idx="0">
                  <c:v>UTI Adulto</c:v>
                </c:pt>
                <c:pt idx="1">
                  <c:v>UTI Pediátrica</c:v>
                </c:pt>
                <c:pt idx="2">
                  <c:v>Emergênica</c:v>
                </c:pt>
                <c:pt idx="3">
                  <c:v>U. I. Aduto</c:v>
                </c:pt>
                <c:pt idx="4">
                  <c:v>U. I. Pediátrica</c:v>
                </c:pt>
                <c:pt idx="5">
                  <c:v>Hospital Dia</c:v>
                </c:pt>
                <c:pt idx="6">
                  <c:v>Total</c:v>
                </c:pt>
              </c:strCache>
            </c:strRef>
          </c:cat>
          <c:val>
            <c:numRef>
              <c:f>Plan1!$B$3:$B$9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71</c:v>
                </c:pt>
                <c:pt idx="4">
                  <c:v>11</c:v>
                </c:pt>
                <c:pt idx="5">
                  <c:v>10</c:v>
                </c:pt>
                <c:pt idx="6">
                  <c:v>111</c:v>
                </c:pt>
              </c:numCache>
            </c:numRef>
          </c:val>
        </c:ser>
        <c:dLbls>
          <c:showVal val="1"/>
        </c:dLbls>
        <c:overlap val="-25"/>
        <c:axId val="51455104"/>
        <c:axId val="96243072"/>
      </c:barChart>
      <c:catAx>
        <c:axId val="5145510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6243072"/>
        <c:crosses val="autoZero"/>
        <c:auto val="1"/>
        <c:lblAlgn val="ctr"/>
        <c:lblOffset val="100"/>
      </c:catAx>
      <c:valAx>
        <c:axId val="9624307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51455104"/>
        <c:crosses val="autoZero"/>
        <c:crossBetween val="between"/>
      </c:valAx>
    </c:plotArea>
    <c:plotVisOnly val="1"/>
    <c:dispBlanksAs val="gap"/>
  </c:chart>
  <c:spPr>
    <a:ln w="9525" cap="flat" cmpd="sng" algn="ctr">
      <a:noFill/>
      <a:prstDash val="solid"/>
      <a:round/>
    </a:ln>
  </c:spPr>
  <c:txPr>
    <a:bodyPr/>
    <a:lstStyle/>
    <a:p>
      <a:pPr>
        <a:defRPr lang="pt-BR"/>
      </a:pPr>
      <a:endParaRPr lang="pt-BR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Média de Permanência Hospitalar (em dias) - </a:t>
            </a: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12</c:v>
                </c:pt>
                <c:pt idx="1">
                  <c:v>10</c:v>
                </c:pt>
              </c:numCache>
            </c:numRef>
          </c:val>
        </c:ser>
        <c:dLbls>
          <c:showVal val="1"/>
        </c:dLbls>
        <c:axId val="102070144"/>
        <c:axId val="102071680"/>
      </c:barChart>
      <c:catAx>
        <c:axId val="10207014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071680"/>
        <c:crosses val="autoZero"/>
        <c:auto val="1"/>
        <c:lblAlgn val="ctr"/>
        <c:lblOffset val="100"/>
      </c:catAx>
      <c:valAx>
        <c:axId val="102071680"/>
        <c:scaling>
          <c:orientation val="minMax"/>
        </c:scaling>
        <c:delete val="1"/>
        <c:axPos val="l"/>
        <c:numFmt formatCode="0" sourceLinked="1"/>
        <c:tickLblPos val="none"/>
        <c:crossAx val="10207014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Índice de Intervalo de Substituição de Leitos (em horas) - </a:t>
            </a: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1599462365591404"/>
          <c:y val="3.676975945017180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0</c:v>
                </c:pt>
                <c:pt idx="1">
                  <c:v>43</c:v>
                </c:pt>
              </c:numCache>
            </c:numRef>
          </c:val>
        </c:ser>
        <c:dLbls>
          <c:showVal val="1"/>
        </c:dLbls>
        <c:axId val="105865600"/>
        <c:axId val="105867136"/>
      </c:barChart>
      <c:catAx>
        <c:axId val="10586560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5867136"/>
        <c:crosses val="autoZero"/>
        <c:auto val="1"/>
        <c:lblAlgn val="ctr"/>
        <c:lblOffset val="100"/>
      </c:catAx>
      <c:valAx>
        <c:axId val="105867136"/>
        <c:scaling>
          <c:orientation val="minMax"/>
        </c:scaling>
        <c:delete val="1"/>
        <c:axPos val="l"/>
        <c:numFmt formatCode="0" sourceLinked="1"/>
        <c:tickLblPos val="none"/>
        <c:crossAx val="10586560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 </a:t>
            </a:r>
            <a:r>
              <a:rPr lang="en-US" baseline="0"/>
              <a:t>2019</a:t>
            </a:r>
            <a:endParaRPr lang="en-US"/>
          </a:p>
        </c:rich>
      </c:tx>
      <c:layout>
        <c:manualLayout>
          <c:xMode val="edge"/>
          <c:yMode val="edge"/>
          <c:x val="0.190781563126252"/>
          <c:y val="2.686567164179100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245</c:v>
                </c:pt>
                <c:pt idx="1">
                  <c:v>42</c:v>
                </c:pt>
                <c:pt idx="2">
                  <c:v>287</c:v>
                </c:pt>
                <c:pt idx="3">
                  <c:v>200</c:v>
                </c:pt>
              </c:numCache>
            </c:numRef>
          </c:val>
        </c:ser>
        <c:dLbls>
          <c:showVal val="1"/>
        </c:dLbls>
        <c:axId val="51506560"/>
        <c:axId val="51508352"/>
      </c:barChart>
      <c:catAx>
        <c:axId val="5150656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508352"/>
        <c:crosses val="autoZero"/>
        <c:auto val="1"/>
        <c:lblAlgn val="ctr"/>
        <c:lblOffset val="100"/>
      </c:catAx>
      <c:valAx>
        <c:axId val="51508352"/>
        <c:scaling>
          <c:orientation val="minMax"/>
        </c:scaling>
        <c:delete val="1"/>
        <c:axPos val="l"/>
        <c:numFmt formatCode="General" sourceLinked="1"/>
        <c:tickLblPos val="none"/>
        <c:crossAx val="5150656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Atendimentos de Urgência e Emergência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755</c:v>
                </c:pt>
                <c:pt idx="1">
                  <c:v>750</c:v>
                </c:pt>
              </c:numCache>
            </c:numRef>
          </c:val>
        </c:ser>
        <c:dLbls>
          <c:showVal val="1"/>
        </c:dLbls>
        <c:axId val="97567872"/>
        <c:axId val="97569408"/>
      </c:barChart>
      <c:catAx>
        <c:axId val="9756787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7569408"/>
        <c:crosses val="autoZero"/>
        <c:auto val="1"/>
        <c:lblAlgn val="ctr"/>
        <c:lblOffset val="100"/>
      </c:catAx>
      <c:valAx>
        <c:axId val="97569408"/>
        <c:scaling>
          <c:orientation val="minMax"/>
        </c:scaling>
        <c:delete val="1"/>
        <c:axPos val="l"/>
        <c:numFmt formatCode="General" sourceLinked="1"/>
        <c:tickLblPos val="none"/>
        <c:crossAx val="9756787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Hospital Dia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299</c:v>
                </c:pt>
                <c:pt idx="1">
                  <c:v>100</c:v>
                </c:pt>
              </c:numCache>
            </c:numRef>
          </c:val>
        </c:ser>
        <c:dLbls>
          <c:showVal val="1"/>
        </c:dLbls>
        <c:axId val="102079104"/>
        <c:axId val="102084992"/>
      </c:barChart>
      <c:catAx>
        <c:axId val="10207910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084992"/>
        <c:crosses val="autoZero"/>
        <c:auto val="1"/>
        <c:lblAlgn val="ctr"/>
        <c:lblOffset val="100"/>
      </c:catAx>
      <c:valAx>
        <c:axId val="102084992"/>
        <c:scaling>
          <c:orientation val="minMax"/>
        </c:scaling>
        <c:delete val="1"/>
        <c:axPos val="l"/>
        <c:numFmt formatCode="General" sourceLinked="1"/>
        <c:tickLblPos val="none"/>
        <c:crossAx val="10207910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3108808290155397"/>
          <c:y val="2.826666666666670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41</c:v>
                </c:pt>
                <c:pt idx="1">
                  <c:v>5</c:v>
                </c:pt>
                <c:pt idx="2">
                  <c:v>20</c:v>
                </c:pt>
                <c:pt idx="3">
                  <c:v>12</c:v>
                </c:pt>
                <c:pt idx="4">
                  <c:v>4</c:v>
                </c:pt>
                <c:pt idx="5">
                  <c:v>9</c:v>
                </c:pt>
                <c:pt idx="6">
                  <c:v>91</c:v>
                </c:pt>
              </c:numCache>
            </c:numRef>
          </c:val>
        </c:ser>
        <c:dLbls>
          <c:showVal val="1"/>
        </c:dLbls>
        <c:axId val="104379136"/>
        <c:axId val="104380672"/>
      </c:barChart>
      <c:catAx>
        <c:axId val="10437913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4380672"/>
        <c:crosses val="autoZero"/>
        <c:auto val="1"/>
        <c:lblAlgn val="ctr"/>
        <c:lblOffset val="100"/>
      </c:catAx>
      <c:valAx>
        <c:axId val="104380672"/>
        <c:scaling>
          <c:orientation val="minMax"/>
        </c:scaling>
        <c:delete val="1"/>
        <c:axPos val="l"/>
        <c:numFmt formatCode="General" sourceLinked="1"/>
        <c:tickLblPos val="none"/>
        <c:crossAx val="10437913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 Ambulatorial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 </a:t>
            </a:r>
            <a:r>
              <a:rPr lang="en-US" baseline="0"/>
              <a:t>2019</a:t>
            </a:r>
            <a:endParaRPr lang="en-US"/>
          </a:p>
        </c:rich>
      </c:tx>
      <c:layout>
        <c:manualLayout>
          <c:xMode val="edge"/>
          <c:yMode val="edge"/>
          <c:x val="0.22558450233800895"/>
          <c:y val="3.2835820895522415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#.##0</c:formatCode>
                <c:ptCount val="4"/>
                <c:pt idx="0">
                  <c:v>3624</c:v>
                </c:pt>
                <c:pt idx="1">
                  <c:v>310</c:v>
                </c:pt>
                <c:pt idx="2">
                  <c:v>3934</c:v>
                </c:pt>
                <c:pt idx="3">
                  <c:v>3700</c:v>
                </c:pt>
              </c:numCache>
            </c:numRef>
          </c:val>
        </c:ser>
        <c:dLbls>
          <c:showVal val="1"/>
        </c:dLbls>
        <c:axId val="104409728"/>
        <c:axId val="104415616"/>
      </c:barChart>
      <c:catAx>
        <c:axId val="10440972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4415616"/>
        <c:crosses val="autoZero"/>
        <c:auto val="1"/>
        <c:lblAlgn val="ctr"/>
        <c:lblOffset val="100"/>
      </c:catAx>
      <c:valAx>
        <c:axId val="104415616"/>
        <c:scaling>
          <c:orientation val="minMax"/>
        </c:scaling>
        <c:delete val="1"/>
        <c:axPos val="l"/>
        <c:numFmt formatCode="#.##0" sourceLinked="1"/>
        <c:tickLblPos val="none"/>
        <c:crossAx val="10440972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SADT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40236039147956221"/>
          <c:y val="2.6817042606516305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#.##0</c:formatCode>
                <c:ptCount val="9"/>
                <c:pt idx="0">
                  <c:v>19295</c:v>
                </c:pt>
                <c:pt idx="1">
                  <c:v>1686</c:v>
                </c:pt>
                <c:pt idx="2" formatCode="General">
                  <c:v>17</c:v>
                </c:pt>
                <c:pt idx="3" formatCode="General">
                  <c:v>0</c:v>
                </c:pt>
                <c:pt idx="4" formatCode="General">
                  <c:v>48</c:v>
                </c:pt>
                <c:pt idx="5" formatCode="General">
                  <c:v>17</c:v>
                </c:pt>
                <c:pt idx="6" formatCode="General">
                  <c:v>0</c:v>
                </c:pt>
                <c:pt idx="7" formatCode="General">
                  <c:v>0</c:v>
                </c:pt>
                <c:pt idx="8">
                  <c:v>21063</c:v>
                </c:pt>
              </c:numCache>
            </c:numRef>
          </c:val>
        </c:ser>
        <c:dLbls>
          <c:showVal val="1"/>
        </c:dLbls>
        <c:axId val="104501248"/>
        <c:axId val="104502784"/>
      </c:barChart>
      <c:catAx>
        <c:axId val="10450124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4502784"/>
        <c:crosses val="autoZero"/>
        <c:auto val="1"/>
        <c:lblAlgn val="ctr"/>
        <c:lblOffset val="100"/>
      </c:catAx>
      <c:valAx>
        <c:axId val="104502784"/>
        <c:scaling>
          <c:orientation val="minMax"/>
        </c:scaling>
        <c:delete val="1"/>
        <c:axPos val="l"/>
        <c:numFmt formatCode="#.##0" sourceLinked="1"/>
        <c:tickLblPos val="none"/>
        <c:crossAx val="10450124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Resultados Alcançados x Metas Contratadas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C00000"/>
              </a:solidFill>
            </c:spPr>
          </c:dPt>
          <c:dPt>
            <c:idx val="7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Plan1!$A$2:$A$9</c:f>
              <c:strCache>
                <c:ptCount val="8"/>
                <c:pt idx="0">
                  <c:v>Saídas Faturadas </c:v>
                </c:pt>
                <c:pt idx="1">
                  <c:v>Meta Contratada </c:v>
                </c:pt>
                <c:pt idx="2">
                  <c:v>Urgência e Emergência </c:v>
                </c:pt>
                <c:pt idx="3">
                  <c:v>Meta Contratada </c:v>
                </c:pt>
                <c:pt idx="4">
                  <c:v>Hospital Dia </c:v>
                </c:pt>
                <c:pt idx="5">
                  <c:v>Meta Contratada </c:v>
                </c:pt>
                <c:pt idx="6">
                  <c:v>Ambulatório </c:v>
                </c:pt>
                <c:pt idx="7">
                  <c:v>Meta Contratada </c:v>
                </c:pt>
              </c:strCache>
            </c:strRef>
          </c:cat>
          <c:val>
            <c:numRef>
              <c:f>Plan1!$B$2:$B$9</c:f>
              <c:numCache>
                <c:formatCode>0</c:formatCode>
                <c:ptCount val="8"/>
                <c:pt idx="0">
                  <c:v>245</c:v>
                </c:pt>
                <c:pt idx="1">
                  <c:v>200</c:v>
                </c:pt>
                <c:pt idx="2">
                  <c:v>755</c:v>
                </c:pt>
                <c:pt idx="3">
                  <c:v>750</c:v>
                </c:pt>
                <c:pt idx="4">
                  <c:v>299</c:v>
                </c:pt>
                <c:pt idx="5">
                  <c:v>100</c:v>
                </c:pt>
                <c:pt idx="6" formatCode="#.##0">
                  <c:v>3934</c:v>
                </c:pt>
                <c:pt idx="7" formatCode="#.##0">
                  <c:v>3700</c:v>
                </c:pt>
              </c:numCache>
            </c:numRef>
          </c:val>
        </c:ser>
        <c:dLbls>
          <c:showVal val="1"/>
        </c:dLbls>
        <c:axId val="104565376"/>
        <c:axId val="104571264"/>
      </c:barChart>
      <c:catAx>
        <c:axId val="10456537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4571264"/>
        <c:crosses val="autoZero"/>
        <c:auto val="1"/>
        <c:lblAlgn val="ctr"/>
        <c:lblOffset val="100"/>
      </c:catAx>
      <c:valAx>
        <c:axId val="104571264"/>
        <c:scaling>
          <c:orientation val="minMax"/>
        </c:scaling>
        <c:delete val="1"/>
        <c:axPos val="l"/>
        <c:numFmt formatCode="0" sourceLinked="1"/>
        <c:tickLblPos val="none"/>
        <c:crossAx val="10456537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Taxa de Ocupação Hospitalar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Abril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7571743929359807"/>
          <c:y val="3.711340206185571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pt-BR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100%</a:t>
                    </a:r>
                  </a:p>
                </c:rich>
              </c:tx>
              <c:numFmt formatCode="00%" sourceLinked="0"/>
              <c:spPr>
                <a:noFill/>
                <a:ln>
                  <a:noFill/>
                </a:ln>
                <a:effectLst/>
              </c:spPr>
              <c:dLblPos val="outEnd"/>
              <c:showVal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4944812362031"/>
                      <c:h val="0.12027491408934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
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1</c:v>
                </c:pt>
                <c:pt idx="1">
                  <c:v>0.8500000000000002</c:v>
                </c:pt>
              </c:numCache>
            </c:numRef>
          </c:val>
        </c:ser>
        <c:dLbls>
          <c:showVal val="1"/>
        </c:dLbls>
        <c:axId val="104596224"/>
        <c:axId val="104597760"/>
      </c:barChart>
      <c:catAx>
        <c:axId val="10459622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4597760"/>
        <c:crosses val="autoZero"/>
        <c:auto val="1"/>
        <c:lblAlgn val="ctr"/>
        <c:lblOffset val="100"/>
      </c:catAx>
      <c:valAx>
        <c:axId val="104597760"/>
        <c:scaling>
          <c:orientation val="minMax"/>
        </c:scaling>
        <c:delete val="1"/>
        <c:axPos val="l"/>
        <c:numFmt formatCode="0%" sourceLinked="1"/>
        <c:tickLblPos val="none"/>
        <c:crossAx val="10459622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E4AE44-B0BE-4C6F-9D5F-186FD62EA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2460</Words>
  <Characters>13289</Characters>
  <Application>Microsoft Office Word</Application>
  <DocSecurity>0</DocSecurity>
  <Lines>110</Lines>
  <Paragraphs>31</Paragraphs>
  <ScaleCrop>false</ScaleCrop>
  <Company>GOL Linhas Aereas Inteligentes</Company>
  <LinksUpToDate>false</LinksUpToDate>
  <CharactersWithSpaces>15718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36</cp:revision>
  <cp:lastPrinted>2019-10-15T20:20:00Z</cp:lastPrinted>
  <dcterms:created xsi:type="dcterms:W3CDTF">2020-07-03T18:22:00Z</dcterms:created>
  <dcterms:modified xsi:type="dcterms:W3CDTF">2020-07-08T16:51:00Z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