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word/charts/chart10.xml" ContentType="application/vnd.openxmlformats-officedocument.drawingml.chart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docProps/custom.xml" ContentType="application/vnd.openxmlformats-officedocument.custom-properties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hart2.xml" ContentType="application/vnd.openxmlformats-officedocument.drawingml.chart+xml"/>
  <Default Extension="xlsx" ContentType="application/vnd.openxmlformats-officedocument.spreadsheetml.sheet"/>
  <Override PartName="/word/charts/chart3.xml" ContentType="application/vnd.openxmlformats-officedocument.drawingml.chart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word/charts/chart1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5709" w:rsidRDefault="00595709">
      <w:pPr>
        <w:spacing w:after="0" w:line="360" w:lineRule="auto"/>
        <w:rPr>
          <w:rFonts w:ascii="Arial" w:hAnsi="Arial" w:cs="Arial"/>
        </w:rPr>
      </w:pPr>
    </w:p>
    <w:p w:rsidR="00595709" w:rsidRDefault="00595709">
      <w:pPr>
        <w:spacing w:after="0" w:line="360" w:lineRule="auto"/>
        <w:rPr>
          <w:rFonts w:ascii="Arial" w:hAnsi="Arial" w:cs="Arial"/>
          <w:b/>
          <w:sz w:val="32"/>
          <w:szCs w:val="32"/>
        </w:rPr>
      </w:pPr>
    </w:p>
    <w:p w:rsidR="00595709" w:rsidRDefault="00C14B4D">
      <w:pPr>
        <w:spacing w:after="0" w:line="360" w:lineRule="auto"/>
        <w:jc w:val="center"/>
        <w:rPr>
          <w:rFonts w:ascii="Arial" w:hAnsi="Arial" w:cs="Arial"/>
          <w:b/>
          <w:color w:val="002060"/>
          <w:sz w:val="32"/>
          <w:szCs w:val="32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t>HOSPITAL ESTADUAL DE DOENÇAS TROPICAIS</w:t>
      </w:r>
    </w:p>
    <w:p w:rsidR="00595709" w:rsidRDefault="00595709">
      <w:pPr>
        <w:spacing w:after="0" w:line="360" w:lineRule="auto"/>
        <w:jc w:val="center"/>
        <w:rPr>
          <w:rFonts w:ascii="Arial" w:hAnsi="Arial" w:cs="Arial"/>
          <w:b/>
          <w:color w:val="002060"/>
          <w:sz w:val="32"/>
          <w:szCs w:val="32"/>
        </w:rPr>
      </w:pPr>
    </w:p>
    <w:p w:rsidR="00595709" w:rsidRDefault="00B267E0">
      <w:pPr>
        <w:spacing w:after="0" w:line="360" w:lineRule="auto"/>
        <w:jc w:val="center"/>
        <w:rPr>
          <w:rFonts w:ascii="Arial" w:hAnsi="Arial" w:cs="Arial"/>
          <w:b/>
          <w:color w:val="002060"/>
          <w:sz w:val="32"/>
          <w:szCs w:val="32"/>
        </w:rPr>
      </w:pPr>
      <w:r>
        <w:rPr>
          <w:rFonts w:ascii="Arial" w:hAnsi="Arial" w:cs="Arial"/>
          <w:b/>
          <w:color w:val="002060"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ixa de Texto 2" o:spid="_x0000_s1026" type="#_x0000_t202" style="position:absolute;left:0;text-align:left;margin-left:-13.8pt;margin-top:12.85pt;width:471pt;height:276pt;z-index:251659264;mso-width-relative:page;mso-height-relative:page" o:gfxdata="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PB4FvNoAAAAK&#10;AQAADwAAAAAAAAABACAAAAAiAAAAZHJzL2Rvd25yZXYueG1sUEsBAhQAFAAAAAgAh07iQDypR7Ia&#10;AgAAQwQAAA4AAAAAAAAAAQAgAAAAKQEAAGRycy9lMm9Eb2MueG1sUEsFBgAAAAAGAAYAWQEAALUF&#10;AAAAAA==&#10;">
            <v:textbox>
              <w:txbxContent>
                <w:p w:rsidR="00595709" w:rsidRDefault="00C14B4D">
                  <w:pPr>
                    <w:jc w:val="center"/>
                    <w:rPr>
                      <w:rFonts w:ascii="Arial" w:hAnsi="Arial" w:cs="Arial"/>
                      <w:b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b/>
                      <w:sz w:val="36"/>
                      <w:szCs w:val="36"/>
                    </w:rPr>
                    <w:t>11º Termo Aditivo ao Contrato de Gestão nº091/2012</w:t>
                  </w:r>
                </w:p>
                <w:p w:rsidR="00595709" w:rsidRDefault="00595709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</w:p>
                <w:p w:rsidR="00595709" w:rsidRDefault="00595709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</w:p>
                <w:p w:rsidR="00595709" w:rsidRDefault="00C14B4D">
                  <w:pPr>
                    <w:jc w:val="center"/>
                    <w:rPr>
                      <w:rFonts w:ascii="Arial" w:hAnsi="Arial" w:cs="Arial"/>
                      <w:b/>
                      <w:i/>
                      <w:color w:val="4F81BD" w:themeColor="accent1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b/>
                      <w:i/>
                      <w:color w:val="4F81BD" w:themeColor="accent1"/>
                      <w:sz w:val="36"/>
                      <w:szCs w:val="36"/>
                    </w:rPr>
                    <w:t>RELATÓRIO MENSAL</w:t>
                  </w:r>
                </w:p>
                <w:p w:rsidR="00595709" w:rsidRDefault="00595709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</w:p>
                <w:p w:rsidR="00595709" w:rsidRDefault="00595709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</w:p>
                <w:p w:rsidR="00595709" w:rsidRDefault="00C14B4D">
                  <w:pPr>
                    <w:jc w:val="center"/>
                    <w:rPr>
                      <w:rFonts w:ascii="Arial" w:hAnsi="Arial" w:cs="Arial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sz w:val="36"/>
                      <w:szCs w:val="36"/>
                    </w:rPr>
                    <w:t>Referência: Maio de 2019</w:t>
                  </w:r>
                </w:p>
              </w:txbxContent>
            </v:textbox>
          </v:shape>
        </w:pict>
      </w:r>
    </w:p>
    <w:p w:rsidR="00595709" w:rsidRDefault="00595709">
      <w:pPr>
        <w:spacing w:after="0" w:line="360" w:lineRule="auto"/>
        <w:jc w:val="center"/>
        <w:rPr>
          <w:rFonts w:ascii="Arial" w:hAnsi="Arial" w:cs="Arial"/>
          <w:b/>
          <w:color w:val="002060"/>
          <w:sz w:val="32"/>
          <w:szCs w:val="32"/>
        </w:rPr>
      </w:pPr>
    </w:p>
    <w:p w:rsidR="00595709" w:rsidRDefault="00595709">
      <w:pPr>
        <w:spacing w:after="0" w:line="360" w:lineRule="auto"/>
        <w:jc w:val="center"/>
        <w:rPr>
          <w:rFonts w:ascii="Arial" w:hAnsi="Arial" w:cs="Arial"/>
          <w:b/>
          <w:color w:val="002060"/>
          <w:sz w:val="32"/>
          <w:szCs w:val="32"/>
        </w:rPr>
      </w:pPr>
    </w:p>
    <w:p w:rsidR="00595709" w:rsidRDefault="00595709">
      <w:pPr>
        <w:spacing w:after="0" w:line="360" w:lineRule="auto"/>
        <w:jc w:val="center"/>
        <w:rPr>
          <w:rFonts w:ascii="Arial" w:hAnsi="Arial" w:cs="Arial"/>
          <w:b/>
          <w:color w:val="002060"/>
          <w:sz w:val="32"/>
          <w:szCs w:val="32"/>
        </w:rPr>
      </w:pPr>
    </w:p>
    <w:p w:rsidR="00595709" w:rsidRDefault="00595709">
      <w:pPr>
        <w:spacing w:after="0" w:line="360" w:lineRule="auto"/>
        <w:jc w:val="center"/>
        <w:rPr>
          <w:rFonts w:ascii="Arial" w:hAnsi="Arial" w:cs="Arial"/>
          <w:b/>
          <w:sz w:val="32"/>
          <w:szCs w:val="32"/>
        </w:rPr>
      </w:pPr>
    </w:p>
    <w:p w:rsidR="00595709" w:rsidRDefault="00595709">
      <w:pPr>
        <w:spacing w:after="0" w:line="360" w:lineRule="auto"/>
        <w:rPr>
          <w:rFonts w:ascii="Arial" w:hAnsi="Arial" w:cs="Arial"/>
        </w:rPr>
      </w:pPr>
    </w:p>
    <w:p w:rsidR="00595709" w:rsidRDefault="00595709">
      <w:pPr>
        <w:spacing w:after="0" w:line="360" w:lineRule="auto"/>
        <w:rPr>
          <w:rFonts w:ascii="Arial" w:hAnsi="Arial" w:cs="Arial"/>
        </w:rPr>
      </w:pPr>
    </w:p>
    <w:p w:rsidR="00595709" w:rsidRDefault="00595709">
      <w:pPr>
        <w:spacing w:after="0" w:line="360" w:lineRule="auto"/>
        <w:rPr>
          <w:rFonts w:ascii="Arial" w:hAnsi="Arial" w:cs="Arial"/>
        </w:rPr>
      </w:pPr>
    </w:p>
    <w:p w:rsidR="00595709" w:rsidRDefault="00595709">
      <w:pPr>
        <w:spacing w:after="0" w:line="360" w:lineRule="auto"/>
        <w:rPr>
          <w:rFonts w:ascii="Arial" w:hAnsi="Arial" w:cs="Arial"/>
        </w:rPr>
      </w:pPr>
    </w:p>
    <w:p w:rsidR="00595709" w:rsidRDefault="00595709">
      <w:pPr>
        <w:spacing w:after="0" w:line="360" w:lineRule="auto"/>
        <w:rPr>
          <w:rFonts w:ascii="Arial" w:hAnsi="Arial" w:cs="Arial"/>
        </w:rPr>
      </w:pPr>
    </w:p>
    <w:p w:rsidR="00595709" w:rsidRDefault="00595709">
      <w:pPr>
        <w:spacing w:after="0" w:line="360" w:lineRule="auto"/>
        <w:rPr>
          <w:rFonts w:ascii="Arial" w:hAnsi="Arial" w:cs="Arial"/>
        </w:rPr>
      </w:pPr>
    </w:p>
    <w:p w:rsidR="00595709" w:rsidRDefault="00595709">
      <w:pPr>
        <w:spacing w:after="0" w:line="360" w:lineRule="auto"/>
        <w:rPr>
          <w:rFonts w:ascii="Arial" w:hAnsi="Arial" w:cs="Arial"/>
        </w:rPr>
      </w:pPr>
    </w:p>
    <w:p w:rsidR="00595709" w:rsidRDefault="00595709">
      <w:pPr>
        <w:spacing w:after="0" w:line="360" w:lineRule="auto"/>
        <w:rPr>
          <w:rFonts w:ascii="Arial" w:hAnsi="Arial" w:cs="Arial"/>
        </w:rPr>
      </w:pPr>
    </w:p>
    <w:p w:rsidR="00595709" w:rsidRDefault="00595709">
      <w:pPr>
        <w:spacing w:after="0" w:line="360" w:lineRule="auto"/>
        <w:rPr>
          <w:rFonts w:ascii="Arial" w:hAnsi="Arial" w:cs="Arial"/>
        </w:rPr>
      </w:pPr>
    </w:p>
    <w:p w:rsidR="00595709" w:rsidRDefault="00595709">
      <w:pPr>
        <w:spacing w:after="0" w:line="360" w:lineRule="auto"/>
        <w:rPr>
          <w:rFonts w:ascii="Arial" w:hAnsi="Arial" w:cs="Arial"/>
        </w:rPr>
      </w:pPr>
    </w:p>
    <w:p w:rsidR="00595709" w:rsidRDefault="00595709">
      <w:pPr>
        <w:spacing w:after="0" w:line="360" w:lineRule="auto"/>
        <w:rPr>
          <w:rFonts w:ascii="Arial" w:hAnsi="Arial" w:cs="Arial"/>
          <w:b/>
          <w:color w:val="000000" w:themeColor="text1"/>
          <w:sz w:val="32"/>
          <w:szCs w:val="32"/>
        </w:rPr>
      </w:pPr>
    </w:p>
    <w:p w:rsidR="008A5F9A" w:rsidRDefault="008A5F9A" w:rsidP="008A5F9A">
      <w:pPr>
        <w:spacing w:after="0" w:line="360" w:lineRule="auto"/>
        <w:rPr>
          <w:rFonts w:ascii="Arial" w:hAnsi="Arial" w:cs="Arial"/>
          <w:b/>
          <w:color w:val="000000" w:themeColor="text1"/>
          <w:sz w:val="28"/>
          <w:szCs w:val="28"/>
        </w:rPr>
      </w:pPr>
      <w:r>
        <w:rPr>
          <w:rFonts w:ascii="Arial" w:hAnsi="Arial" w:cs="Arial"/>
          <w:b/>
          <w:color w:val="000000" w:themeColor="text1"/>
          <w:sz w:val="28"/>
          <w:szCs w:val="28"/>
        </w:rPr>
        <w:t xml:space="preserve">Diretor Geral: </w:t>
      </w:r>
    </w:p>
    <w:p w:rsidR="008A5F9A" w:rsidRDefault="008A5F9A" w:rsidP="008A5F9A">
      <w:pPr>
        <w:spacing w:after="0" w:line="360" w:lineRule="auto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 xml:space="preserve">Moisés Wanderley </w:t>
      </w:r>
    </w:p>
    <w:p w:rsidR="008A5F9A" w:rsidRDefault="008A5F9A" w:rsidP="008A5F9A">
      <w:pPr>
        <w:spacing w:after="0" w:line="360" w:lineRule="auto"/>
        <w:rPr>
          <w:rFonts w:ascii="Arial" w:hAnsi="Arial" w:cs="Arial"/>
          <w:color w:val="000000" w:themeColor="text1"/>
          <w:sz w:val="28"/>
          <w:szCs w:val="28"/>
        </w:rPr>
      </w:pPr>
    </w:p>
    <w:p w:rsidR="008A5F9A" w:rsidRDefault="008A5F9A" w:rsidP="008A5F9A">
      <w:pPr>
        <w:spacing w:after="0" w:line="360" w:lineRule="auto"/>
        <w:rPr>
          <w:rFonts w:ascii="Arial" w:hAnsi="Arial" w:cs="Arial"/>
          <w:b/>
          <w:color w:val="000000" w:themeColor="text1"/>
          <w:sz w:val="28"/>
          <w:szCs w:val="28"/>
        </w:rPr>
      </w:pPr>
      <w:r>
        <w:rPr>
          <w:rFonts w:ascii="Arial" w:hAnsi="Arial" w:cs="Arial"/>
          <w:b/>
          <w:color w:val="000000" w:themeColor="text1"/>
          <w:sz w:val="28"/>
          <w:szCs w:val="28"/>
        </w:rPr>
        <w:t>Diretora Técnica:</w:t>
      </w:r>
    </w:p>
    <w:p w:rsidR="008A5F9A" w:rsidRDefault="008A5F9A" w:rsidP="008A5F9A">
      <w:pPr>
        <w:spacing w:after="0" w:line="360" w:lineRule="auto"/>
        <w:rPr>
          <w:rFonts w:ascii="Arial" w:eastAsia="Calibri" w:hAnsi="Arial" w:cs="Arial"/>
          <w:bCs/>
          <w:sz w:val="28"/>
          <w:szCs w:val="28"/>
        </w:rPr>
      </w:pPr>
      <w:r>
        <w:rPr>
          <w:rFonts w:ascii="Arial" w:eastAsia="Calibri" w:hAnsi="Arial" w:cs="Arial"/>
          <w:bCs/>
          <w:sz w:val="28"/>
          <w:szCs w:val="28"/>
        </w:rPr>
        <w:t xml:space="preserve">Marina Roriz </w:t>
      </w:r>
    </w:p>
    <w:p w:rsidR="008A5F9A" w:rsidRDefault="008A5F9A" w:rsidP="008A5F9A">
      <w:pPr>
        <w:spacing w:after="0" w:line="360" w:lineRule="auto"/>
        <w:rPr>
          <w:rFonts w:ascii="Arial" w:hAnsi="Arial" w:cs="Arial"/>
          <w:color w:val="000000" w:themeColor="text1"/>
          <w:sz w:val="28"/>
          <w:szCs w:val="28"/>
        </w:rPr>
      </w:pPr>
    </w:p>
    <w:p w:rsidR="008A5F9A" w:rsidRDefault="008A5F9A" w:rsidP="008A5F9A">
      <w:pPr>
        <w:spacing w:after="0" w:line="360" w:lineRule="auto"/>
        <w:rPr>
          <w:rFonts w:ascii="Arial" w:hAnsi="Arial" w:cs="Arial"/>
          <w:b/>
          <w:color w:val="000000" w:themeColor="text1"/>
          <w:sz w:val="28"/>
          <w:szCs w:val="28"/>
        </w:rPr>
      </w:pPr>
      <w:r>
        <w:rPr>
          <w:rFonts w:ascii="Arial" w:hAnsi="Arial" w:cs="Arial"/>
          <w:b/>
          <w:color w:val="000000" w:themeColor="text1"/>
          <w:sz w:val="28"/>
          <w:szCs w:val="28"/>
        </w:rPr>
        <w:t xml:space="preserve">Diretora de Ensino e Pesquisa </w:t>
      </w:r>
    </w:p>
    <w:p w:rsidR="008A5F9A" w:rsidRDefault="008A5F9A" w:rsidP="008A5F9A">
      <w:pPr>
        <w:spacing w:after="0" w:line="360" w:lineRule="auto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 xml:space="preserve">Marília Dalva </w:t>
      </w:r>
      <w:proofErr w:type="spellStart"/>
      <w:r>
        <w:rPr>
          <w:rFonts w:ascii="Arial" w:hAnsi="Arial" w:cs="Arial"/>
          <w:color w:val="000000" w:themeColor="text1"/>
          <w:sz w:val="28"/>
          <w:szCs w:val="28"/>
        </w:rPr>
        <w:t>Turchi</w:t>
      </w:r>
      <w:proofErr w:type="spellEnd"/>
      <w:r>
        <w:rPr>
          <w:rFonts w:ascii="Arial" w:hAnsi="Arial" w:cs="Arial"/>
          <w:color w:val="000000" w:themeColor="text1"/>
          <w:sz w:val="28"/>
          <w:szCs w:val="28"/>
        </w:rPr>
        <w:t xml:space="preserve"> </w:t>
      </w:r>
    </w:p>
    <w:p w:rsidR="00595709" w:rsidRDefault="00595709">
      <w:pPr>
        <w:rPr>
          <w:rFonts w:ascii="Arial" w:hAnsi="Arial" w:cs="Arial"/>
        </w:rPr>
      </w:pPr>
    </w:p>
    <w:p w:rsidR="00595709" w:rsidRDefault="00595709">
      <w:pPr>
        <w:spacing w:after="0" w:line="360" w:lineRule="auto"/>
        <w:rPr>
          <w:rFonts w:ascii="Arial" w:hAnsi="Arial" w:cs="Arial"/>
        </w:rPr>
      </w:pPr>
    </w:p>
    <w:p w:rsidR="00595709" w:rsidRDefault="00595709">
      <w:pPr>
        <w:spacing w:after="0" w:line="360" w:lineRule="auto"/>
        <w:rPr>
          <w:rFonts w:ascii="Arial" w:hAnsi="Arial" w:cs="Arial"/>
        </w:rPr>
      </w:pPr>
    </w:p>
    <w:sdt>
      <w:sdtPr>
        <w:rPr>
          <w:rFonts w:ascii="Arial" w:eastAsiaTheme="minorHAnsi" w:hAnsi="Arial" w:cs="Arial"/>
          <w:b w:val="0"/>
          <w:bCs w:val="0"/>
          <w:color w:val="auto"/>
          <w:sz w:val="22"/>
          <w:szCs w:val="22"/>
        </w:rPr>
        <w:id w:val="105118061"/>
        <w:docPartObj>
          <w:docPartGallery w:val="Table of Contents"/>
          <w:docPartUnique/>
        </w:docPartObj>
      </w:sdtPr>
      <w:sdtContent>
        <w:p w:rsidR="00595709" w:rsidRDefault="00C14B4D">
          <w:pPr>
            <w:pStyle w:val="CabealhodoSumrio1"/>
            <w:rPr>
              <w:rFonts w:ascii="Arial" w:hAnsi="Arial" w:cs="Arial"/>
            </w:rPr>
          </w:pPr>
          <w:r>
            <w:rPr>
              <w:rFonts w:ascii="Arial" w:hAnsi="Arial" w:cs="Arial"/>
            </w:rPr>
            <w:t xml:space="preserve">Sumário </w:t>
          </w:r>
        </w:p>
        <w:p w:rsidR="00595709" w:rsidRDefault="00595709">
          <w:pPr>
            <w:rPr>
              <w:rFonts w:ascii="Arial" w:hAnsi="Arial" w:cs="Arial"/>
            </w:rPr>
          </w:pPr>
        </w:p>
        <w:p w:rsidR="00595709" w:rsidRDefault="00B267E0">
          <w:pPr>
            <w:pStyle w:val="Sumrio1"/>
            <w:tabs>
              <w:tab w:val="right" w:leader="dot" w:pos="9061"/>
            </w:tabs>
            <w:rPr>
              <w:rFonts w:eastAsiaTheme="minorEastAsia"/>
              <w:noProof/>
              <w:lang w:eastAsia="pt-BR"/>
            </w:rPr>
          </w:pPr>
          <w:r>
            <w:rPr>
              <w:rFonts w:ascii="Arial" w:hAnsi="Arial" w:cs="Arial"/>
            </w:rPr>
            <w:fldChar w:fldCharType="begin"/>
          </w:r>
          <w:r w:rsidR="00C14B4D">
            <w:rPr>
              <w:rFonts w:ascii="Arial" w:hAnsi="Arial" w:cs="Arial"/>
            </w:rPr>
            <w:instrText xml:space="preserve"> TOC \o "1-3" \h \z \u </w:instrText>
          </w:r>
          <w:r>
            <w:rPr>
              <w:rFonts w:ascii="Arial" w:hAnsi="Arial" w:cs="Arial"/>
            </w:rPr>
            <w:fldChar w:fldCharType="separate"/>
          </w:r>
          <w:hyperlink w:anchor="_Toc44681915" w:history="1">
            <w:r w:rsidR="00C14B4D">
              <w:rPr>
                <w:rStyle w:val="Hyperlink"/>
                <w:rFonts w:ascii="Arial" w:hAnsi="Arial" w:cs="Arial"/>
                <w:noProof/>
              </w:rPr>
              <w:t>NOSSA HISTÓRIA</w:t>
            </w:r>
            <w:r w:rsidR="00C14B4D"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 w:rsidR="00C14B4D">
              <w:rPr>
                <w:noProof/>
              </w:rPr>
              <w:instrText xml:space="preserve"> PAGEREF _Toc44681915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642CEC">
              <w:rPr>
                <w:noProof/>
              </w:rPr>
              <w:t>3</w:t>
            </w:r>
            <w:r>
              <w:rPr>
                <w:noProof/>
              </w:rPr>
              <w:fldChar w:fldCharType="end"/>
            </w:r>
          </w:hyperlink>
        </w:p>
        <w:p w:rsidR="00595709" w:rsidRDefault="00B267E0">
          <w:pPr>
            <w:pStyle w:val="Sumrio1"/>
            <w:tabs>
              <w:tab w:val="right" w:leader="dot" w:pos="9061"/>
            </w:tabs>
            <w:rPr>
              <w:rFonts w:eastAsiaTheme="minorEastAsia"/>
              <w:noProof/>
              <w:lang w:eastAsia="pt-BR"/>
            </w:rPr>
          </w:pPr>
          <w:hyperlink w:anchor="_Toc44681916" w:history="1">
            <w:r w:rsidR="00C14B4D">
              <w:rPr>
                <w:rStyle w:val="Hyperlink"/>
                <w:rFonts w:ascii="Arial" w:hAnsi="Arial" w:cs="Arial"/>
                <w:noProof/>
              </w:rPr>
              <w:t>MISSÃO, VISÃO E VALORES</w:t>
            </w:r>
            <w:r w:rsidR="00C14B4D"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 w:rsidR="00C14B4D">
              <w:rPr>
                <w:noProof/>
              </w:rPr>
              <w:instrText xml:space="preserve"> PAGEREF _Toc44681916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642CEC">
              <w:rPr>
                <w:noProof/>
              </w:rPr>
              <w:t>4</w:t>
            </w:r>
            <w:r>
              <w:rPr>
                <w:noProof/>
              </w:rPr>
              <w:fldChar w:fldCharType="end"/>
            </w:r>
          </w:hyperlink>
        </w:p>
        <w:p w:rsidR="00595709" w:rsidRDefault="00B267E0">
          <w:pPr>
            <w:pStyle w:val="Sumrio1"/>
            <w:tabs>
              <w:tab w:val="right" w:leader="dot" w:pos="9061"/>
            </w:tabs>
            <w:rPr>
              <w:rFonts w:eastAsiaTheme="minorEastAsia"/>
              <w:noProof/>
              <w:lang w:eastAsia="pt-BR"/>
            </w:rPr>
          </w:pPr>
          <w:hyperlink w:anchor="_Toc44681917" w:history="1">
            <w:r w:rsidR="00C14B4D">
              <w:rPr>
                <w:rStyle w:val="Hyperlink"/>
                <w:rFonts w:ascii="Arial" w:hAnsi="Arial" w:cs="Arial"/>
                <w:noProof/>
              </w:rPr>
              <w:t>SERVIÇOS</w:t>
            </w:r>
            <w:r w:rsidR="00C14B4D"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 w:rsidR="00C14B4D">
              <w:rPr>
                <w:noProof/>
              </w:rPr>
              <w:instrText xml:space="preserve"> PAGEREF _Toc44681917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642CEC">
              <w:rPr>
                <w:noProof/>
              </w:rPr>
              <w:t>5</w:t>
            </w:r>
            <w:r>
              <w:rPr>
                <w:noProof/>
              </w:rPr>
              <w:fldChar w:fldCharType="end"/>
            </w:r>
          </w:hyperlink>
        </w:p>
        <w:p w:rsidR="00595709" w:rsidRDefault="00B267E0">
          <w:pPr>
            <w:pStyle w:val="Sumrio1"/>
            <w:tabs>
              <w:tab w:val="right" w:leader="dot" w:pos="9061"/>
            </w:tabs>
            <w:rPr>
              <w:rFonts w:eastAsiaTheme="minorEastAsia"/>
              <w:noProof/>
              <w:lang w:eastAsia="pt-BR"/>
            </w:rPr>
          </w:pPr>
          <w:hyperlink w:anchor="_Toc44681918" w:history="1">
            <w:r w:rsidR="00C14B4D">
              <w:rPr>
                <w:rStyle w:val="Hyperlink"/>
                <w:rFonts w:ascii="Arial" w:hAnsi="Arial" w:cs="Arial"/>
                <w:noProof/>
              </w:rPr>
              <w:t>ATIVIDADES REALIZADAS</w:t>
            </w:r>
            <w:r w:rsidR="00C14B4D"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 w:rsidR="00C14B4D">
              <w:rPr>
                <w:noProof/>
              </w:rPr>
              <w:instrText xml:space="preserve"> PAGEREF _Toc44681918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642CEC">
              <w:rPr>
                <w:noProof/>
              </w:rPr>
              <w:t>7</w:t>
            </w:r>
            <w:r>
              <w:rPr>
                <w:noProof/>
              </w:rPr>
              <w:fldChar w:fldCharType="end"/>
            </w:r>
          </w:hyperlink>
        </w:p>
        <w:p w:rsidR="00595709" w:rsidRDefault="00B267E0">
          <w:pPr>
            <w:pStyle w:val="Sumrio1"/>
            <w:tabs>
              <w:tab w:val="right" w:leader="dot" w:pos="9061"/>
            </w:tabs>
            <w:rPr>
              <w:rFonts w:eastAsiaTheme="minorEastAsia"/>
              <w:noProof/>
              <w:lang w:eastAsia="pt-BR"/>
            </w:rPr>
          </w:pPr>
          <w:hyperlink w:anchor="_Toc44681919" w:history="1">
            <w:r w:rsidR="00C14B4D">
              <w:rPr>
                <w:rStyle w:val="Hyperlink"/>
                <w:rFonts w:ascii="Arial" w:hAnsi="Arial" w:cs="Arial"/>
                <w:noProof/>
              </w:rPr>
              <w:t>METAS DE PRODUÇÃO SEMESTRAL E RESULTADOS ALCANÇADOS</w:t>
            </w:r>
            <w:r w:rsidR="00C14B4D"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 w:rsidR="00C14B4D">
              <w:rPr>
                <w:noProof/>
              </w:rPr>
              <w:instrText xml:space="preserve"> PAGEREF _Toc44681919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642CEC">
              <w:rPr>
                <w:noProof/>
              </w:rPr>
              <w:t>14</w:t>
            </w:r>
            <w:r>
              <w:rPr>
                <w:noProof/>
              </w:rPr>
              <w:fldChar w:fldCharType="end"/>
            </w:r>
          </w:hyperlink>
        </w:p>
        <w:p w:rsidR="00595709" w:rsidRDefault="00B267E0">
          <w:pPr>
            <w:pStyle w:val="Sumrio1"/>
            <w:tabs>
              <w:tab w:val="right" w:leader="dot" w:pos="9061"/>
            </w:tabs>
            <w:rPr>
              <w:rFonts w:eastAsiaTheme="minorEastAsia"/>
              <w:noProof/>
              <w:lang w:eastAsia="pt-BR"/>
            </w:rPr>
          </w:pPr>
          <w:hyperlink w:anchor="_Toc44681920" w:history="1">
            <w:r w:rsidR="00C14B4D">
              <w:rPr>
                <w:rStyle w:val="Hyperlink"/>
                <w:rFonts w:ascii="Arial" w:hAnsi="Arial" w:cs="Arial"/>
                <w:noProof/>
              </w:rPr>
              <w:t>AÇÕES E ATIVIDADES</w:t>
            </w:r>
            <w:r w:rsidR="00C14B4D"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 w:rsidR="00C14B4D">
              <w:rPr>
                <w:noProof/>
              </w:rPr>
              <w:instrText xml:space="preserve"> PAGEREF _Toc44681920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642CEC">
              <w:rPr>
                <w:noProof/>
              </w:rPr>
              <w:t>19</w:t>
            </w:r>
            <w:r>
              <w:rPr>
                <w:noProof/>
              </w:rPr>
              <w:fldChar w:fldCharType="end"/>
            </w:r>
          </w:hyperlink>
        </w:p>
        <w:p w:rsidR="00595709" w:rsidRDefault="00B267E0">
          <w:pPr>
            <w:rPr>
              <w:rFonts w:ascii="Arial" w:hAnsi="Arial" w:cs="Arial"/>
            </w:rPr>
          </w:pPr>
          <w:r>
            <w:rPr>
              <w:rFonts w:ascii="Arial" w:hAnsi="Arial" w:cs="Arial"/>
            </w:rPr>
            <w:fldChar w:fldCharType="end"/>
          </w:r>
        </w:p>
      </w:sdtContent>
    </w:sdt>
    <w:p w:rsidR="00595709" w:rsidRDefault="00595709">
      <w:pPr>
        <w:spacing w:after="0" w:line="360" w:lineRule="auto"/>
        <w:rPr>
          <w:rFonts w:ascii="Arial" w:hAnsi="Arial" w:cs="Arial"/>
        </w:rPr>
      </w:pPr>
    </w:p>
    <w:p w:rsidR="00595709" w:rsidRDefault="00595709">
      <w:pPr>
        <w:spacing w:after="0" w:line="360" w:lineRule="auto"/>
        <w:rPr>
          <w:rFonts w:ascii="Arial" w:hAnsi="Arial" w:cs="Arial"/>
        </w:rPr>
      </w:pPr>
    </w:p>
    <w:p w:rsidR="00595709" w:rsidRDefault="00595709">
      <w:pPr>
        <w:spacing w:after="0" w:line="360" w:lineRule="auto"/>
        <w:rPr>
          <w:rFonts w:ascii="Arial" w:hAnsi="Arial" w:cs="Arial"/>
        </w:rPr>
      </w:pPr>
    </w:p>
    <w:p w:rsidR="00595709" w:rsidRDefault="00595709">
      <w:pPr>
        <w:spacing w:after="0" w:line="360" w:lineRule="auto"/>
        <w:rPr>
          <w:rFonts w:ascii="Arial" w:hAnsi="Arial" w:cs="Arial"/>
        </w:rPr>
      </w:pPr>
    </w:p>
    <w:p w:rsidR="00595709" w:rsidRDefault="00595709">
      <w:pPr>
        <w:spacing w:after="0" w:line="360" w:lineRule="auto"/>
        <w:rPr>
          <w:rFonts w:ascii="Arial" w:hAnsi="Arial" w:cs="Arial"/>
        </w:rPr>
      </w:pPr>
    </w:p>
    <w:p w:rsidR="00595709" w:rsidRDefault="00595709">
      <w:pPr>
        <w:spacing w:after="0" w:line="360" w:lineRule="auto"/>
        <w:rPr>
          <w:rFonts w:ascii="Arial" w:hAnsi="Arial" w:cs="Arial"/>
        </w:rPr>
      </w:pPr>
    </w:p>
    <w:p w:rsidR="00595709" w:rsidRDefault="00595709">
      <w:pPr>
        <w:spacing w:after="0" w:line="360" w:lineRule="auto"/>
        <w:rPr>
          <w:rFonts w:ascii="Arial" w:hAnsi="Arial" w:cs="Arial"/>
        </w:rPr>
        <w:sectPr w:rsidR="00595709" w:rsidSect="00642CEC">
          <w:headerReference w:type="default" r:id="rId9"/>
          <w:pgSz w:w="11906" w:h="16838"/>
          <w:pgMar w:top="1701" w:right="1134" w:bottom="1134" w:left="1701" w:header="708" w:footer="708" w:gutter="0"/>
          <w:pgNumType w:start="3"/>
          <w:cols w:space="708"/>
          <w:docGrid w:linePitch="360"/>
        </w:sectPr>
      </w:pPr>
    </w:p>
    <w:p w:rsidR="00595709" w:rsidRDefault="00C14B4D">
      <w:pPr>
        <w:pStyle w:val="Ttulo1"/>
        <w:rPr>
          <w:rFonts w:ascii="Arial" w:hAnsi="Arial" w:cs="Arial"/>
          <w:color w:val="000000" w:themeColor="text1"/>
          <w:sz w:val="24"/>
          <w:szCs w:val="24"/>
        </w:rPr>
      </w:pPr>
      <w:bookmarkStart w:id="0" w:name="_Toc44681915"/>
      <w:r>
        <w:rPr>
          <w:rFonts w:ascii="Arial" w:hAnsi="Arial" w:cs="Arial"/>
          <w:color w:val="000000" w:themeColor="text1"/>
          <w:sz w:val="24"/>
          <w:szCs w:val="24"/>
        </w:rPr>
        <w:lastRenderedPageBreak/>
        <w:t>NOSSA HISTÓRIA</w:t>
      </w:r>
      <w:bookmarkEnd w:id="0"/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:rsidR="00595709" w:rsidRDefault="00595709">
      <w:pPr>
        <w:spacing w:after="0" w:line="360" w:lineRule="auto"/>
        <w:rPr>
          <w:rFonts w:ascii="Arial" w:hAnsi="Arial" w:cs="Arial"/>
          <w:sz w:val="36"/>
          <w:szCs w:val="36"/>
        </w:rPr>
      </w:pPr>
    </w:p>
    <w:p w:rsidR="00595709" w:rsidRDefault="00C14B4D">
      <w:pPr>
        <w:spacing w:after="0" w:line="36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O </w:t>
      </w:r>
      <w:r>
        <w:rPr>
          <w:rStyle w:val="Forte"/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Hospital Estadual de Doenças Tropicais Dr. </w:t>
      </w:r>
      <w:proofErr w:type="spellStart"/>
      <w:r>
        <w:rPr>
          <w:rStyle w:val="Forte"/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Anuar</w:t>
      </w:r>
      <w:proofErr w:type="spellEnd"/>
      <w:r>
        <w:rPr>
          <w:rStyle w:val="Forte"/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Style w:val="Forte"/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Auad</w:t>
      </w:r>
      <w:proofErr w:type="spellEnd"/>
      <w:r>
        <w:rPr>
          <w:rStyle w:val="Forte"/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– HDT</w:t>
      </w:r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, fundado em 10 de janeiro de 1977, surgiu em virtude de uma grande epidemia de doenças Meningocócicas em Goiás no período de 1972 a 1976. Na época, os antigos hospitais Osvaldo Cruz e Pênfigo não possuíam estrutura para atender a sobrecarga da demanda. Dessa forma, surgiu a necessidade da criação de um hospital que atendesse pacientes portadores de doenças infecciosas e dermatológicas. Assim, nasceu o Hospital Estadual de Doenças Tropicais Dr.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Anuar</w:t>
      </w:r>
      <w:proofErr w:type="spellEnd"/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Auad</w:t>
      </w:r>
      <w:proofErr w:type="spellEnd"/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de Goiânia, uma conjunção entre os dois antigos hospitais.</w:t>
      </w:r>
    </w:p>
    <w:p w:rsidR="00595709" w:rsidRDefault="00C14B4D">
      <w:pPr>
        <w:spacing w:after="0" w:line="36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>
        <w:rPr>
          <w:rFonts w:ascii="Arial" w:hAnsi="Arial" w:cs="Arial"/>
          <w:sz w:val="24"/>
          <w:szCs w:val="24"/>
        </w:rPr>
        <w:t xml:space="preserve">O HDT é uma unidade Terciaria de assistência à saúde de alta complexidade, sendo o perfil especializado em assistência aos portadores de doenças </w:t>
      </w:r>
      <w:proofErr w:type="spellStart"/>
      <w:r>
        <w:rPr>
          <w:rFonts w:ascii="Arial" w:hAnsi="Arial" w:cs="Arial"/>
          <w:sz w:val="24"/>
          <w:szCs w:val="24"/>
        </w:rPr>
        <w:t>incto-contagiosas</w:t>
      </w:r>
      <w:proofErr w:type="spellEnd"/>
      <w:r>
        <w:rPr>
          <w:rFonts w:ascii="Arial" w:hAnsi="Arial" w:cs="Arial"/>
          <w:sz w:val="24"/>
          <w:szCs w:val="24"/>
        </w:rPr>
        <w:t xml:space="preserve">, dermatológicas, meningites, Profilaxia Pós-Exposição –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PrEP</w:t>
      </w:r>
      <w:proofErr w:type="spellEnd"/>
      <w:proofErr w:type="gramEnd"/>
      <w:r>
        <w:rPr>
          <w:rFonts w:ascii="Arial" w:hAnsi="Arial" w:cs="Arial"/>
          <w:sz w:val="24"/>
          <w:szCs w:val="24"/>
        </w:rPr>
        <w:t xml:space="preserve">, e vítimas de acidentes por animais peçonhentos, que são encaminhados a unidade via Central de Regulação do município de Goiânia. Atende ainda por demanda espontânea pacientes com HIV/AIDS (que estão em tratamento na unidade), vítimas de acidentes por animais peçonhentos e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PrEP</w:t>
      </w:r>
      <w:proofErr w:type="spellEnd"/>
      <w:proofErr w:type="gramEnd"/>
    </w:p>
    <w:p w:rsidR="00595709" w:rsidRDefault="00C14B4D">
      <w:pPr>
        <w:spacing w:after="0" w:line="36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Desde julho de 2012, o hospital é gerido pela organização social Instituto Sócrates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Guanaes</w:t>
      </w:r>
      <w:proofErr w:type="spellEnd"/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(ISG). Desde então recebeu prêmio no concurso de Humanização - em 2014, obtido em Concurso Cultural do Ministério da Saúde e o Selo de Qualidade da Organização Nacional de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Acreditação</w:t>
      </w:r>
      <w:proofErr w:type="spellEnd"/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(ONA).</w:t>
      </w:r>
    </w:p>
    <w:p w:rsidR="00595709" w:rsidRDefault="00595709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595709" w:rsidRDefault="00595709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595709" w:rsidRDefault="00595709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595709" w:rsidRDefault="00595709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595709" w:rsidRDefault="00595709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595709" w:rsidRDefault="00595709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595709" w:rsidRDefault="00595709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595709" w:rsidRDefault="00595709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595709" w:rsidRDefault="00C14B4D">
      <w:pP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br w:type="page"/>
      </w:r>
    </w:p>
    <w:p w:rsidR="00595709" w:rsidRDefault="00595709">
      <w:pPr>
        <w:pStyle w:val="Ttulo1"/>
        <w:rPr>
          <w:rFonts w:ascii="Arial" w:eastAsiaTheme="minorHAnsi" w:hAnsi="Arial" w:cs="Arial"/>
          <w:b w:val="0"/>
          <w:bCs w:val="0"/>
          <w:color w:val="000000" w:themeColor="text1"/>
          <w:sz w:val="24"/>
          <w:szCs w:val="24"/>
          <w:shd w:val="clear" w:color="auto" w:fill="FFFFFF"/>
        </w:rPr>
      </w:pPr>
      <w:bookmarkStart w:id="1" w:name="_Toc44681916"/>
    </w:p>
    <w:p w:rsidR="00595709" w:rsidRDefault="00C14B4D">
      <w:pPr>
        <w:pStyle w:val="Ttulo1"/>
        <w:rPr>
          <w:rFonts w:ascii="Arial" w:hAnsi="Arial" w:cs="Arial"/>
          <w:b w:val="0"/>
          <w:color w:val="000000" w:themeColor="text1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MISSÃO, VISÃO E </w:t>
      </w:r>
      <w:proofErr w:type="gramStart"/>
      <w:r>
        <w:rPr>
          <w:rFonts w:ascii="Arial" w:hAnsi="Arial" w:cs="Arial"/>
          <w:color w:val="000000" w:themeColor="text1"/>
          <w:sz w:val="24"/>
          <w:szCs w:val="24"/>
        </w:rPr>
        <w:t>VALORES</w:t>
      </w:r>
      <w:bookmarkEnd w:id="1"/>
      <w:proofErr w:type="gramEnd"/>
    </w:p>
    <w:p w:rsidR="00595709" w:rsidRDefault="00595709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595709" w:rsidRDefault="00C14B4D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000000" w:themeColor="text1"/>
          <w:sz w:val="24"/>
          <w:szCs w:val="24"/>
          <w:lang w:eastAsia="pt-BR"/>
        </w:rPr>
        <w:drawing>
          <wp:inline distT="0" distB="0" distL="0" distR="0">
            <wp:extent cx="5760085" cy="4323080"/>
            <wp:effectExtent l="0" t="0" r="0" b="127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32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709" w:rsidRDefault="00595709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595709" w:rsidRDefault="00595709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595709" w:rsidRDefault="00595709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595709" w:rsidRDefault="00595709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595709" w:rsidRDefault="00595709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595709" w:rsidRDefault="00595709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595709" w:rsidRDefault="00595709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595709" w:rsidRDefault="00595709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595709" w:rsidRDefault="00595709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595709" w:rsidRDefault="00595709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595709" w:rsidRDefault="00C14B4D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br w:type="page"/>
      </w:r>
    </w:p>
    <w:p w:rsidR="00595709" w:rsidRDefault="00595709">
      <w:pPr>
        <w:pStyle w:val="Ttulo1"/>
        <w:rPr>
          <w:rFonts w:ascii="Arial" w:eastAsiaTheme="minorHAnsi" w:hAnsi="Arial" w:cs="Arial"/>
          <w:b w:val="0"/>
          <w:bCs w:val="0"/>
          <w:color w:val="000000" w:themeColor="text1"/>
          <w:sz w:val="24"/>
          <w:szCs w:val="24"/>
        </w:rPr>
      </w:pPr>
    </w:p>
    <w:p w:rsidR="00595709" w:rsidRDefault="00C14B4D">
      <w:pPr>
        <w:pStyle w:val="Ttulo1"/>
        <w:rPr>
          <w:rFonts w:ascii="Arial" w:hAnsi="Arial" w:cs="Arial"/>
          <w:b w:val="0"/>
          <w:color w:val="000000" w:themeColor="text1"/>
          <w:sz w:val="24"/>
          <w:szCs w:val="24"/>
        </w:rPr>
      </w:pPr>
      <w:bookmarkStart w:id="2" w:name="_Toc44681917"/>
      <w:r>
        <w:rPr>
          <w:rFonts w:ascii="Arial" w:hAnsi="Arial" w:cs="Arial"/>
          <w:color w:val="000000" w:themeColor="text1"/>
          <w:sz w:val="24"/>
          <w:szCs w:val="24"/>
        </w:rPr>
        <w:t>SERVIÇOS</w:t>
      </w:r>
      <w:bookmarkEnd w:id="2"/>
    </w:p>
    <w:p w:rsidR="00595709" w:rsidRDefault="00595709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595709" w:rsidRDefault="00C14B4D">
      <w:pPr>
        <w:spacing w:after="0" w:line="36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O HDT oferece atendimento especializado em Infectologia e Dermatologia. As demais especialidades oferecem suporte para os pacientes definidos com o perfil da unidade, e são as seguintes: Clínica Geral, Neurologia, Pneumologia, Psiquiatria, Medicina Intensiva, Cardiologia,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Gastroenterologia</w:t>
      </w:r>
      <w:proofErr w:type="spellEnd"/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, Ginecologia, Nefrologia, Hematologia,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Nutrologia</w:t>
      </w:r>
      <w:proofErr w:type="spellEnd"/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, Endocrinologia,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Proctologia</w:t>
      </w:r>
      <w:proofErr w:type="spellEnd"/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e Urologia.</w:t>
      </w:r>
    </w:p>
    <w:p w:rsidR="00595709" w:rsidRDefault="00C14B4D">
      <w:pPr>
        <w:spacing w:after="0" w:line="36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O hospital também oferece instalações e equipamentos adequados para a execução de exames laboratoriais, serviços de imagem, incluindo tomografias.</w:t>
      </w:r>
    </w:p>
    <w:p w:rsidR="00595709" w:rsidRDefault="00C14B4D">
      <w:pPr>
        <w:spacing w:after="0" w:line="36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Além dos serviços acima mencionados, a unidade também promove os seguintes programas:</w:t>
      </w:r>
    </w:p>
    <w:p w:rsidR="00595709" w:rsidRDefault="00595709">
      <w:pPr>
        <w:spacing w:after="0" w:line="36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595709" w:rsidRDefault="00C14B4D">
      <w:pPr>
        <w:pStyle w:val="PargrafodaLista"/>
        <w:numPr>
          <w:ilvl w:val="0"/>
          <w:numId w:val="1"/>
        </w:numPr>
        <w:spacing w:after="0" w:line="360" w:lineRule="auto"/>
        <w:jc w:val="both"/>
        <w:rPr>
          <w:rStyle w:val="Forte"/>
          <w:rFonts w:ascii="Arial" w:hAnsi="Arial" w:cs="Arial"/>
          <w:color w:val="002060"/>
          <w:sz w:val="24"/>
          <w:szCs w:val="24"/>
          <w:shd w:val="clear" w:color="auto" w:fill="FFFFFF"/>
        </w:rPr>
      </w:pPr>
      <w:r>
        <w:rPr>
          <w:rStyle w:val="Forte"/>
          <w:rFonts w:ascii="Arial" w:hAnsi="Arial" w:cs="Arial"/>
          <w:color w:val="002060"/>
          <w:sz w:val="24"/>
          <w:szCs w:val="24"/>
          <w:shd w:val="clear" w:color="auto" w:fill="FFFFFF"/>
        </w:rPr>
        <w:t>Prevenir Para a Vida</w:t>
      </w:r>
    </w:p>
    <w:p w:rsidR="00595709" w:rsidRDefault="00595709">
      <w:pPr>
        <w:pStyle w:val="PargrafodaLista"/>
        <w:spacing w:after="0" w:line="360" w:lineRule="auto"/>
        <w:jc w:val="both"/>
        <w:rPr>
          <w:rStyle w:val="Forte"/>
          <w:rFonts w:ascii="Arial" w:hAnsi="Arial" w:cs="Arial"/>
          <w:color w:val="002060"/>
          <w:sz w:val="24"/>
          <w:szCs w:val="24"/>
          <w:shd w:val="clear" w:color="auto" w:fill="FFFFFF"/>
        </w:rPr>
      </w:pPr>
    </w:p>
    <w:p w:rsidR="00595709" w:rsidRDefault="00C14B4D">
      <w:pPr>
        <w:spacing w:after="0" w:line="36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Desenvolvido pelo Setor de Adesão, esse programa tem o objetivo de auxiliar a diminuição e controle do HIV/</w:t>
      </w:r>
      <w:proofErr w:type="spellStart"/>
      <w:proofErr w:type="gramStart"/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Aids</w:t>
      </w:r>
      <w:proofErr w:type="spellEnd"/>
      <w:proofErr w:type="gramEnd"/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nos casos de transmissão vertical (situação em que a criança é infectada durante a gestação, no parto ou por meio da amamentação). Por meio do programa, os filhos de mães portadoras do vírus recebem leite especial até atingirem um ano e meio de vida. </w:t>
      </w:r>
    </w:p>
    <w:p w:rsidR="00595709" w:rsidRDefault="00595709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595709" w:rsidRDefault="00C14B4D">
      <w:pPr>
        <w:pStyle w:val="PargrafodaLista"/>
        <w:numPr>
          <w:ilvl w:val="0"/>
          <w:numId w:val="2"/>
        </w:numPr>
        <w:spacing w:after="0" w:line="360" w:lineRule="auto"/>
        <w:jc w:val="both"/>
        <w:rPr>
          <w:rStyle w:val="Forte"/>
          <w:rFonts w:ascii="Arial" w:hAnsi="Arial" w:cs="Arial"/>
          <w:color w:val="002060"/>
          <w:sz w:val="24"/>
          <w:szCs w:val="24"/>
        </w:rPr>
      </w:pPr>
      <w:r>
        <w:rPr>
          <w:rStyle w:val="Forte"/>
          <w:rFonts w:ascii="Arial" w:hAnsi="Arial" w:cs="Arial"/>
          <w:color w:val="002060"/>
          <w:sz w:val="24"/>
          <w:szCs w:val="24"/>
        </w:rPr>
        <w:t>Departamento de Ensino e Pesquisa</w:t>
      </w:r>
    </w:p>
    <w:p w:rsidR="00595709" w:rsidRDefault="00595709">
      <w:pPr>
        <w:pStyle w:val="PargrafodaLista"/>
        <w:spacing w:after="0" w:line="360" w:lineRule="auto"/>
        <w:jc w:val="both"/>
        <w:rPr>
          <w:rStyle w:val="Forte"/>
          <w:rFonts w:ascii="Arial" w:hAnsi="Arial" w:cs="Arial"/>
          <w:color w:val="002060"/>
          <w:sz w:val="24"/>
          <w:szCs w:val="24"/>
        </w:rPr>
      </w:pPr>
    </w:p>
    <w:p w:rsidR="00595709" w:rsidRDefault="00C14B4D">
      <w:pPr>
        <w:spacing w:after="0" w:line="36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Desde sua fundação, o HDT possui convênio </w:t>
      </w:r>
      <w:proofErr w:type="gramStart"/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várias</w:t>
      </w:r>
      <w:proofErr w:type="gramEnd"/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instituições de ensino para realizar um programa de integração ensino-serviço. Essa parceria possibilita o desenvolvimento dos seguintes trabalhos:</w:t>
      </w:r>
    </w:p>
    <w:p w:rsidR="00595709" w:rsidRDefault="00C14B4D">
      <w:pPr>
        <w:spacing w:after="0" w:line="36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Style w:val="Forte"/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Linhas de pesquisa</w:t>
      </w:r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 </w:t>
      </w:r>
      <w:r>
        <w:rPr>
          <w:rStyle w:val="nfase"/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– Leishmaniose, micoses, HIV/AIDS, tuberculose, </w:t>
      </w:r>
      <w:proofErr w:type="gramStart"/>
      <w:r>
        <w:rPr>
          <w:rStyle w:val="nfase"/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hepatites,</w:t>
      </w:r>
      <w:proofErr w:type="gramEnd"/>
      <w:r>
        <w:rPr>
          <w:rStyle w:val="nfase"/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hanseníase, controle de infecção hospitalar e psoríase.</w:t>
      </w:r>
    </w:p>
    <w:p w:rsidR="00595709" w:rsidRDefault="00C14B4D">
      <w:pPr>
        <w:spacing w:after="0" w:line="360" w:lineRule="auto"/>
        <w:ind w:firstLine="708"/>
        <w:jc w:val="both"/>
        <w:rPr>
          <w:rStyle w:val="nfase"/>
          <w:rFonts w:ascii="Arial" w:hAnsi="Arial" w:cs="Arial"/>
          <w:i w:val="0"/>
          <w:iCs w:val="0"/>
          <w:color w:val="000000" w:themeColor="text1"/>
          <w:sz w:val="24"/>
          <w:szCs w:val="24"/>
          <w:shd w:val="clear" w:color="auto" w:fill="FFFFFF"/>
        </w:rPr>
      </w:pPr>
      <w:r>
        <w:rPr>
          <w:rStyle w:val="Forte"/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Residência Médica:</w:t>
      </w:r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 </w:t>
      </w:r>
      <w:r>
        <w:rPr>
          <w:rStyle w:val="nfase"/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Infectologia com duração de </w:t>
      </w:r>
      <w:proofErr w:type="gramStart"/>
      <w:r>
        <w:rPr>
          <w:rStyle w:val="nfase"/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3</w:t>
      </w:r>
      <w:proofErr w:type="gramEnd"/>
      <w:r>
        <w:rPr>
          <w:rStyle w:val="nfase"/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anos, Infectologia pediátrica com duração de 2 anos e Dermatologia com duração de 3 anos;</w:t>
      </w:r>
      <w:r>
        <w:rPr>
          <w:rFonts w:ascii="Arial" w:hAnsi="Arial" w:cs="Arial"/>
          <w:color w:val="000000" w:themeColor="text1"/>
          <w:sz w:val="24"/>
          <w:szCs w:val="24"/>
        </w:rPr>
        <w:br/>
      </w:r>
      <w:r>
        <w:rPr>
          <w:rFonts w:ascii="Arial" w:hAnsi="Arial" w:cs="Arial"/>
          <w:color w:val="000000" w:themeColor="text1"/>
          <w:sz w:val="24"/>
          <w:szCs w:val="24"/>
        </w:rPr>
        <w:br/>
      </w:r>
      <w:r>
        <w:rPr>
          <w:rStyle w:val="Forte"/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Residência multiprofissional:</w:t>
      </w:r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 </w:t>
      </w:r>
      <w:r>
        <w:rPr>
          <w:rStyle w:val="nfase"/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Psicologia, Enfermagem, Nutrição, Fisioterapia, Biomedicina.</w:t>
      </w:r>
    </w:p>
    <w:p w:rsidR="00595709" w:rsidRDefault="00595709">
      <w:pPr>
        <w:spacing w:after="0" w:line="360" w:lineRule="auto"/>
        <w:jc w:val="both"/>
        <w:rPr>
          <w:rStyle w:val="nfase"/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595709" w:rsidRDefault="00C14B4D">
      <w:pPr>
        <w:pStyle w:val="PargrafodaLista"/>
        <w:numPr>
          <w:ilvl w:val="0"/>
          <w:numId w:val="2"/>
        </w:numPr>
        <w:spacing w:after="0" w:line="360" w:lineRule="auto"/>
        <w:jc w:val="both"/>
        <w:rPr>
          <w:rStyle w:val="Forte"/>
          <w:rFonts w:ascii="Arial" w:hAnsi="Arial" w:cs="Arial"/>
          <w:iCs/>
          <w:color w:val="002060"/>
          <w:sz w:val="24"/>
          <w:szCs w:val="24"/>
        </w:rPr>
      </w:pPr>
      <w:r>
        <w:rPr>
          <w:rStyle w:val="Forte"/>
          <w:rFonts w:ascii="Arial" w:hAnsi="Arial" w:cs="Arial"/>
          <w:iCs/>
          <w:color w:val="002060"/>
          <w:sz w:val="24"/>
          <w:szCs w:val="24"/>
        </w:rPr>
        <w:t>Estágios</w:t>
      </w:r>
    </w:p>
    <w:p w:rsidR="00595709" w:rsidRDefault="00595709">
      <w:pPr>
        <w:pStyle w:val="PargrafodaLista"/>
        <w:spacing w:after="0" w:line="360" w:lineRule="auto"/>
        <w:jc w:val="both"/>
        <w:rPr>
          <w:rStyle w:val="Forte"/>
          <w:rFonts w:ascii="Arial" w:hAnsi="Arial" w:cs="Arial"/>
          <w:iCs/>
          <w:color w:val="002060"/>
          <w:sz w:val="24"/>
          <w:szCs w:val="24"/>
        </w:rPr>
      </w:pPr>
    </w:p>
    <w:p w:rsidR="00595709" w:rsidRDefault="00C14B4D">
      <w:pPr>
        <w:spacing w:after="0" w:line="360" w:lineRule="auto"/>
        <w:ind w:firstLine="709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O hospital recebe graduandos do curso de Medicina de faculdades conveniadas (UFG, PUC Goiás, </w:t>
      </w:r>
      <w:proofErr w:type="spellStart"/>
      <w:proofErr w:type="gramStart"/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UniEvangélica</w:t>
      </w:r>
      <w:proofErr w:type="spellEnd"/>
      <w:proofErr w:type="gramEnd"/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, entre outras) para estágio curricular em Infectologia, em regime de internato, além de estudantes dos cursos de Enfermagem, Nutrição, Psicologia, Farmácia e Fisioterapia; Em nível de residência médica, o hospital também recebe pós-graduandos para as áreas de infectologia e dermatologia em convênio com o HMI, HGG, HUGO, Santa Casa, UFG,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UniEvangélica</w:t>
      </w:r>
      <w:proofErr w:type="spellEnd"/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e outros.</w:t>
      </w:r>
    </w:p>
    <w:p w:rsidR="00595709" w:rsidRDefault="00C14B4D">
      <w:pPr>
        <w:spacing w:after="0" w:line="360" w:lineRule="auto"/>
        <w:ind w:firstLine="709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O hospital também promove estágio de aperfeiçoamento destinado </w:t>
      </w:r>
      <w:proofErr w:type="gramStart"/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à</w:t>
      </w:r>
      <w:proofErr w:type="gramEnd"/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profissionais da Secretaria Estadual de Saúde para as áreas de infectologia e dermatologia.</w:t>
      </w:r>
    </w:p>
    <w:p w:rsidR="00595709" w:rsidRDefault="00595709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595709" w:rsidRDefault="00595709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595709" w:rsidRDefault="00595709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595709" w:rsidRDefault="00595709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595709" w:rsidRDefault="00595709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595709" w:rsidRDefault="00595709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595709" w:rsidRDefault="00595709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595709" w:rsidRDefault="00595709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595709" w:rsidRDefault="00595709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595709" w:rsidRDefault="00595709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595709" w:rsidRDefault="00595709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595709" w:rsidRDefault="00595709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595709" w:rsidRDefault="00595709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595709" w:rsidRDefault="00595709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595709" w:rsidRDefault="00595709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595709" w:rsidRDefault="00595709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595709" w:rsidRDefault="00595709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595709" w:rsidRDefault="00595709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595709" w:rsidRDefault="00595709">
      <w:pPr>
        <w:spacing w:after="0" w:line="360" w:lineRule="auto"/>
        <w:outlineLvl w:val="0"/>
        <w:rPr>
          <w:rFonts w:ascii="Arial" w:hAnsi="Arial" w:cs="Arial"/>
          <w:b/>
          <w:color w:val="000000" w:themeColor="text1"/>
          <w:sz w:val="32"/>
          <w:szCs w:val="32"/>
        </w:rPr>
      </w:pPr>
    </w:p>
    <w:p w:rsidR="00595709" w:rsidRDefault="00595709">
      <w:pPr>
        <w:spacing w:after="0" w:line="360" w:lineRule="auto"/>
        <w:outlineLvl w:val="0"/>
        <w:rPr>
          <w:rFonts w:ascii="Arial" w:hAnsi="Arial" w:cs="Arial"/>
          <w:b/>
          <w:color w:val="000000" w:themeColor="text1"/>
          <w:sz w:val="32"/>
          <w:szCs w:val="32"/>
        </w:rPr>
      </w:pPr>
    </w:p>
    <w:p w:rsidR="00595709" w:rsidRDefault="00595709">
      <w:pPr>
        <w:spacing w:after="0" w:line="360" w:lineRule="auto"/>
        <w:outlineLvl w:val="0"/>
        <w:rPr>
          <w:rFonts w:ascii="Arial" w:hAnsi="Arial" w:cs="Arial"/>
          <w:b/>
          <w:color w:val="000000" w:themeColor="text1"/>
          <w:sz w:val="32"/>
          <w:szCs w:val="32"/>
        </w:rPr>
      </w:pPr>
    </w:p>
    <w:p w:rsidR="00595709" w:rsidRDefault="00C14B4D">
      <w:pPr>
        <w:spacing w:after="0" w:line="360" w:lineRule="auto"/>
        <w:outlineLvl w:val="0"/>
        <w:rPr>
          <w:rFonts w:ascii="Arial" w:hAnsi="Arial" w:cs="Arial"/>
          <w:b/>
          <w:color w:val="000000" w:themeColor="text1"/>
          <w:sz w:val="24"/>
          <w:szCs w:val="24"/>
        </w:rPr>
      </w:pPr>
      <w:bookmarkStart w:id="3" w:name="_Toc44681918"/>
      <w:r>
        <w:rPr>
          <w:rFonts w:ascii="Arial" w:hAnsi="Arial" w:cs="Arial"/>
          <w:b/>
          <w:color w:val="000000" w:themeColor="text1"/>
          <w:sz w:val="24"/>
          <w:szCs w:val="24"/>
        </w:rPr>
        <w:t>ATIVIDADES REALIZADAS</w:t>
      </w:r>
      <w:bookmarkEnd w:id="3"/>
    </w:p>
    <w:p w:rsidR="00595709" w:rsidRDefault="00595709">
      <w:pPr>
        <w:spacing w:after="0" w:line="360" w:lineRule="auto"/>
        <w:outlineLvl w:val="0"/>
        <w:rPr>
          <w:rFonts w:ascii="Arial" w:hAnsi="Arial" w:cs="Arial"/>
          <w:b/>
          <w:color w:val="000000" w:themeColor="text1"/>
          <w:sz w:val="32"/>
          <w:szCs w:val="32"/>
        </w:rPr>
      </w:pPr>
    </w:p>
    <w:p w:rsidR="00595709" w:rsidRDefault="00C14B4D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 HDT é uma unidade referencia de assistência à saúde de alta complexidade, especializada em assistência aos portadores de doenças infecciosas, dermatológicas e vítimas de acidentes por animais peçonhentos, que são encaminhados </w:t>
      </w:r>
      <w:proofErr w:type="gramStart"/>
      <w:r>
        <w:rPr>
          <w:rFonts w:ascii="Arial" w:hAnsi="Arial" w:cs="Arial"/>
          <w:sz w:val="24"/>
          <w:szCs w:val="24"/>
        </w:rPr>
        <w:t>a</w:t>
      </w:r>
      <w:proofErr w:type="gramEnd"/>
      <w:r>
        <w:rPr>
          <w:rFonts w:ascii="Arial" w:hAnsi="Arial" w:cs="Arial"/>
          <w:sz w:val="24"/>
          <w:szCs w:val="24"/>
        </w:rPr>
        <w:t xml:space="preserve"> unidade via Central de Regulação do município de Goiânia e porta aberta a pacientes com HIV/ AIDS, já em tratamento/acompanhamento na unidade, vítimas de acidentes por animais peçonhentos e Profilaxia Pós-Exposição – PrEP. O Hospital possui Núcleo Interno de Regulação – NIR, com objetivo de receber as regulações provindas do complexo regulador municipal.</w:t>
      </w:r>
    </w:p>
    <w:p w:rsidR="00595709" w:rsidRDefault="00C14B4D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Nossa missão é garantir a assistência segura ao paciente em infectologia e dermatologia com qualidade, eficiência e excelência, promovendo conhecimento científico, trazendo como valores:</w:t>
      </w:r>
    </w:p>
    <w:p w:rsidR="00595709" w:rsidRDefault="00C14B4D">
      <w:pPr>
        <w:pStyle w:val="PargrafodaLista"/>
        <w:numPr>
          <w:ilvl w:val="0"/>
          <w:numId w:val="3"/>
        </w:num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Acolhimento e respeito a todos os usuários;</w:t>
      </w:r>
    </w:p>
    <w:p w:rsidR="00595709" w:rsidRDefault="00C14B4D">
      <w:pPr>
        <w:pStyle w:val="PargrafodaLista"/>
        <w:numPr>
          <w:ilvl w:val="0"/>
          <w:numId w:val="3"/>
        </w:num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Gestão inovadora;</w:t>
      </w:r>
    </w:p>
    <w:p w:rsidR="00595709" w:rsidRDefault="00C14B4D">
      <w:pPr>
        <w:pStyle w:val="PargrafodaLista"/>
        <w:numPr>
          <w:ilvl w:val="0"/>
          <w:numId w:val="3"/>
        </w:num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Ética e confiabilidade;</w:t>
      </w:r>
    </w:p>
    <w:p w:rsidR="00595709" w:rsidRDefault="00C14B4D">
      <w:pPr>
        <w:pStyle w:val="PargrafodaLista"/>
        <w:numPr>
          <w:ilvl w:val="0"/>
          <w:numId w:val="3"/>
        </w:num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Comunicação e transparência;</w:t>
      </w:r>
    </w:p>
    <w:p w:rsidR="00595709" w:rsidRDefault="00C14B4D">
      <w:pPr>
        <w:pStyle w:val="PargrafodaLista"/>
        <w:numPr>
          <w:ilvl w:val="0"/>
          <w:numId w:val="3"/>
        </w:num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Qualidade e segurança;</w:t>
      </w:r>
    </w:p>
    <w:p w:rsidR="00595709" w:rsidRDefault="00C14B4D">
      <w:pPr>
        <w:pStyle w:val="PargrafodaLista"/>
        <w:numPr>
          <w:ilvl w:val="0"/>
          <w:numId w:val="3"/>
        </w:num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Sustentabilidade econômica e ambiental;</w:t>
      </w:r>
    </w:p>
    <w:p w:rsidR="00595709" w:rsidRDefault="00C14B4D">
      <w:pPr>
        <w:pStyle w:val="PargrafodaLista"/>
        <w:numPr>
          <w:ilvl w:val="0"/>
          <w:numId w:val="3"/>
        </w:num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Entusiasmo e espírito de equipe.</w:t>
      </w:r>
    </w:p>
    <w:p w:rsidR="00595709" w:rsidRDefault="00595709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595709" w:rsidRDefault="00C14B4D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ASSISTÊNCIA HOSPITALAR</w:t>
      </w:r>
    </w:p>
    <w:p w:rsidR="00595709" w:rsidRDefault="00595709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595709" w:rsidRDefault="00C14B4D">
      <w:pPr>
        <w:spacing w:after="0" w:line="36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A assistência prestada durante a hospitalização envolvente o conjunto de atendimentos ofertados ao paciente desde a sua admissão na emergência até a alta hospitalar, compreende os atendimentos oferecidos e procedimentos indispensáveis para conclusão diagnóstica e as terapêuticas imprescindíveis para a melhora e tratamento no âmbito hospitalar. </w:t>
      </w:r>
    </w:p>
    <w:p w:rsidR="00595709" w:rsidRDefault="00C14B4D">
      <w:pPr>
        <w:spacing w:after="0" w:line="36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O HDT em decorrência do seu perfil de atendimento tem suas especificidades, sendo uma delas os bloqueios operacionais em decorrência de pacientes internados que necessitam de isolamento especial, devido às patologias </w:t>
      </w:r>
      <w:r>
        <w:rPr>
          <w:rFonts w:ascii="Arial" w:hAnsi="Arial" w:cs="Arial"/>
          <w:color w:val="000000" w:themeColor="text1"/>
          <w:sz w:val="24"/>
          <w:szCs w:val="24"/>
        </w:rPr>
        <w:lastRenderedPageBreak/>
        <w:t xml:space="preserve">transmissíveis. E é por este motivo que o número de leitos ocupados nunca será o mesmo número de pacientes internados, pois por vezes temos enfermarias (com </w:t>
      </w:r>
      <w:proofErr w:type="gramStart"/>
      <w:r>
        <w:rPr>
          <w:rFonts w:ascii="Arial" w:hAnsi="Arial" w:cs="Arial"/>
          <w:color w:val="000000" w:themeColor="text1"/>
          <w:sz w:val="24"/>
          <w:szCs w:val="24"/>
        </w:rPr>
        <w:t>2</w:t>
      </w:r>
      <w:proofErr w:type="gramEnd"/>
      <w:r>
        <w:rPr>
          <w:rFonts w:ascii="Arial" w:hAnsi="Arial" w:cs="Arial"/>
          <w:color w:val="000000" w:themeColor="text1"/>
          <w:sz w:val="24"/>
          <w:szCs w:val="24"/>
        </w:rPr>
        <w:t xml:space="preserve"> leitos), sendo ocupadas apenas por um único paciente em precaução especial.</w:t>
      </w:r>
    </w:p>
    <w:p w:rsidR="00595709" w:rsidRDefault="00595709">
      <w:pPr>
        <w:spacing w:after="0" w:line="36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595709" w:rsidRDefault="00C14B4D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000000" w:themeColor="text1"/>
          <w:sz w:val="24"/>
          <w:szCs w:val="24"/>
          <w:lang w:eastAsia="pt-BR"/>
        </w:rPr>
        <w:drawing>
          <wp:inline distT="0" distB="0" distL="0" distR="0">
            <wp:extent cx="5562600" cy="2828925"/>
            <wp:effectExtent l="0" t="0" r="0" b="0"/>
            <wp:docPr id="4" name="Grá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595709" w:rsidRDefault="00595709">
      <w:pPr>
        <w:spacing w:after="0" w:line="360" w:lineRule="auto"/>
        <w:ind w:left="72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595709" w:rsidRDefault="00595709">
      <w:pPr>
        <w:spacing w:after="0" w:line="360" w:lineRule="auto"/>
        <w:ind w:left="72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595709" w:rsidRDefault="00C14B4D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Segue a disposição dos leitos do HDT:</w:t>
      </w:r>
    </w:p>
    <w:p w:rsidR="00595709" w:rsidRDefault="00C14B4D">
      <w:pPr>
        <w:pStyle w:val="PargrafodaLista"/>
        <w:numPr>
          <w:ilvl w:val="0"/>
          <w:numId w:val="4"/>
        </w:num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UTI Adulta: é composta de </w:t>
      </w:r>
      <w:proofErr w:type="gramStart"/>
      <w:r>
        <w:rPr>
          <w:rFonts w:ascii="Arial" w:hAnsi="Arial" w:cs="Arial"/>
          <w:color w:val="000000" w:themeColor="text1"/>
          <w:sz w:val="24"/>
          <w:szCs w:val="24"/>
        </w:rPr>
        <w:t>9</w:t>
      </w:r>
      <w:proofErr w:type="gramEnd"/>
      <w:r>
        <w:rPr>
          <w:rFonts w:ascii="Arial" w:hAnsi="Arial" w:cs="Arial"/>
          <w:color w:val="000000" w:themeColor="text1"/>
          <w:sz w:val="24"/>
          <w:szCs w:val="24"/>
        </w:rPr>
        <w:t xml:space="preserve"> leitos de internação, sendo 4 leitos privativos para pacientes em precaução especial – isolamento,</w:t>
      </w:r>
    </w:p>
    <w:p w:rsidR="00595709" w:rsidRDefault="00C14B4D">
      <w:pPr>
        <w:pStyle w:val="PargrafodaLista"/>
        <w:numPr>
          <w:ilvl w:val="0"/>
          <w:numId w:val="4"/>
        </w:num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UTI Pediátrica: possui </w:t>
      </w:r>
      <w:proofErr w:type="gramStart"/>
      <w:r>
        <w:rPr>
          <w:rFonts w:ascii="Arial" w:hAnsi="Arial" w:cs="Arial"/>
          <w:color w:val="000000" w:themeColor="text1"/>
          <w:sz w:val="24"/>
          <w:szCs w:val="24"/>
        </w:rPr>
        <w:t>4</w:t>
      </w:r>
      <w:proofErr w:type="gramEnd"/>
      <w:r>
        <w:rPr>
          <w:rFonts w:ascii="Arial" w:hAnsi="Arial" w:cs="Arial"/>
          <w:color w:val="000000" w:themeColor="text1"/>
          <w:sz w:val="24"/>
          <w:szCs w:val="24"/>
        </w:rPr>
        <w:t xml:space="preserve"> leitos, sendo 2 para isolamento, </w:t>
      </w:r>
    </w:p>
    <w:p w:rsidR="00595709" w:rsidRDefault="00C14B4D">
      <w:pPr>
        <w:pStyle w:val="PargrafodaLista"/>
        <w:numPr>
          <w:ilvl w:val="0"/>
          <w:numId w:val="4"/>
        </w:num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Emergência: possui </w:t>
      </w:r>
      <w:proofErr w:type="gramStart"/>
      <w:r>
        <w:rPr>
          <w:rFonts w:ascii="Arial" w:hAnsi="Arial" w:cs="Arial"/>
          <w:color w:val="000000" w:themeColor="text1"/>
          <w:sz w:val="24"/>
          <w:szCs w:val="24"/>
        </w:rPr>
        <w:t>1</w:t>
      </w:r>
      <w:proofErr w:type="gramEnd"/>
      <w:r>
        <w:rPr>
          <w:rFonts w:ascii="Arial" w:hAnsi="Arial" w:cs="Arial"/>
          <w:color w:val="000000" w:themeColor="text1"/>
          <w:sz w:val="24"/>
          <w:szCs w:val="24"/>
        </w:rPr>
        <w:t xml:space="preserve"> reanimação e 3 enfermarias duplas (6 leitos) para pacientes em observação, e 3 consultórios de atendimento,</w:t>
      </w:r>
    </w:p>
    <w:p w:rsidR="00595709" w:rsidRDefault="00C14B4D">
      <w:pPr>
        <w:pStyle w:val="PargrafodaLista"/>
        <w:numPr>
          <w:ilvl w:val="0"/>
          <w:numId w:val="4"/>
        </w:num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U. I. Adulto é dividida em Ala A Adulto com </w:t>
      </w:r>
      <w:proofErr w:type="gramStart"/>
      <w:r>
        <w:rPr>
          <w:rFonts w:ascii="Arial" w:hAnsi="Arial" w:cs="Arial"/>
          <w:color w:val="000000" w:themeColor="text1"/>
          <w:sz w:val="24"/>
          <w:szCs w:val="24"/>
        </w:rPr>
        <w:t>3</w:t>
      </w:r>
      <w:proofErr w:type="gramEnd"/>
      <w:r>
        <w:rPr>
          <w:rFonts w:ascii="Arial" w:hAnsi="Arial" w:cs="Arial"/>
          <w:color w:val="000000" w:themeColor="text1"/>
          <w:sz w:val="24"/>
          <w:szCs w:val="24"/>
        </w:rPr>
        <w:t xml:space="preserve"> enfermarias (8 leitos), Ala B com 16 enfermarias individuais (16 leitos), Ala C 16 enfermarias duplas (32 leitos), Ala D com 5 enfermarias (7 leitos), Ala E com 4 enfermarias duplas (8 leitos). A U.I pediátrica possui </w:t>
      </w:r>
      <w:proofErr w:type="gramStart"/>
      <w:r>
        <w:rPr>
          <w:rFonts w:ascii="Arial" w:hAnsi="Arial" w:cs="Arial"/>
          <w:color w:val="000000" w:themeColor="text1"/>
          <w:sz w:val="24"/>
          <w:szCs w:val="24"/>
        </w:rPr>
        <w:t>4</w:t>
      </w:r>
      <w:proofErr w:type="gramEnd"/>
      <w:r>
        <w:rPr>
          <w:rFonts w:ascii="Arial" w:hAnsi="Arial" w:cs="Arial"/>
          <w:color w:val="000000" w:themeColor="text1"/>
          <w:sz w:val="24"/>
          <w:szCs w:val="24"/>
        </w:rPr>
        <w:t xml:space="preserve"> enfermarias (11 leitos),</w:t>
      </w:r>
    </w:p>
    <w:p w:rsidR="00595709" w:rsidRDefault="00C14B4D">
      <w:pPr>
        <w:pStyle w:val="PargrafodaLista"/>
        <w:numPr>
          <w:ilvl w:val="0"/>
          <w:numId w:val="4"/>
        </w:num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Hospital dia: possui 10 poltronas para atendimento.</w:t>
      </w:r>
    </w:p>
    <w:p w:rsidR="00595709" w:rsidRDefault="00595709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595709" w:rsidRDefault="00B267E0">
      <w:pPr>
        <w:spacing w:after="0" w:line="360" w:lineRule="auto"/>
        <w:ind w:left="709"/>
        <w:jc w:val="both"/>
        <w:rPr>
          <w:rFonts w:ascii="Arial" w:hAnsi="Arial" w:cs="Arial"/>
          <w:color w:val="002060"/>
          <w:sz w:val="24"/>
          <w:szCs w:val="24"/>
        </w:rPr>
      </w:pPr>
      <w:r>
        <w:rPr>
          <w:rFonts w:ascii="Arial" w:hAnsi="Arial" w:cs="Arial"/>
          <w:color w:val="002060"/>
          <w:sz w:val="24"/>
          <w:szCs w:val="24"/>
        </w:rPr>
        <w:pict>
          <v:shape id="Caixa de texto 4" o:spid="_x0000_s1028" type="#_x0000_t202" style="position:absolute;left:0;text-align:left;margin-left:257.9pt;margin-top:212.7pt;width:170.3pt;height:23.1pt;z-index:251661312;mso-width-relative:page;mso-height-relative:page" o:gfxdata="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" stroked="f">
            <v:textbox>
              <w:txbxContent>
                <w:p w:rsidR="00595709" w:rsidRDefault="00C14B4D">
                  <w:pPr>
                    <w:rPr>
                      <w:i/>
                      <w:sz w:val="18"/>
                      <w:szCs w:val="18"/>
                    </w:rPr>
                  </w:pPr>
                  <w:r>
                    <w:rPr>
                      <w:i/>
                      <w:sz w:val="18"/>
                      <w:szCs w:val="18"/>
                    </w:rPr>
                    <w:t>Fonte: Relatório Institucional - RIH</w:t>
                  </w:r>
                </w:p>
              </w:txbxContent>
            </v:textbox>
          </v:shape>
        </w:pict>
      </w:r>
    </w:p>
    <w:p w:rsidR="00595709" w:rsidRDefault="00595709">
      <w:pPr>
        <w:spacing w:after="0" w:line="360" w:lineRule="auto"/>
        <w:ind w:left="709"/>
        <w:jc w:val="both"/>
        <w:rPr>
          <w:rFonts w:ascii="Arial" w:hAnsi="Arial" w:cs="Arial"/>
          <w:color w:val="002060"/>
          <w:sz w:val="24"/>
          <w:szCs w:val="24"/>
        </w:rPr>
      </w:pPr>
    </w:p>
    <w:p w:rsidR="00595709" w:rsidRDefault="00595709">
      <w:pPr>
        <w:spacing w:after="0" w:line="360" w:lineRule="auto"/>
        <w:ind w:left="709"/>
        <w:jc w:val="both"/>
        <w:rPr>
          <w:rFonts w:ascii="Arial" w:hAnsi="Arial" w:cs="Arial"/>
          <w:color w:val="002060"/>
          <w:sz w:val="24"/>
          <w:szCs w:val="24"/>
        </w:rPr>
      </w:pPr>
    </w:p>
    <w:p w:rsidR="00595709" w:rsidRDefault="00C14B4D">
      <w:pPr>
        <w:spacing w:after="0" w:line="360" w:lineRule="auto"/>
        <w:ind w:left="709"/>
        <w:jc w:val="both"/>
        <w:rPr>
          <w:rFonts w:ascii="Arial" w:hAnsi="Arial" w:cs="Arial"/>
          <w:color w:val="002060"/>
          <w:sz w:val="24"/>
          <w:szCs w:val="24"/>
        </w:rPr>
      </w:pPr>
      <w:r>
        <w:rPr>
          <w:rFonts w:ascii="Arial" w:hAnsi="Arial" w:cs="Arial"/>
          <w:noProof/>
          <w:color w:val="002060"/>
          <w:sz w:val="24"/>
          <w:szCs w:val="24"/>
          <w:lang w:eastAsia="pt-BR"/>
        </w:rPr>
        <w:lastRenderedPageBreak/>
        <w:drawing>
          <wp:inline distT="0" distB="0" distL="0" distR="0">
            <wp:extent cx="4752975" cy="2552700"/>
            <wp:effectExtent l="19050" t="0" r="9525" b="0"/>
            <wp:docPr id="14" name="Gráfico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595709" w:rsidRDefault="00C14B4D">
      <w:pPr>
        <w:jc w:val="right"/>
        <w:rPr>
          <w:i/>
          <w:sz w:val="18"/>
          <w:szCs w:val="18"/>
        </w:rPr>
      </w:pPr>
      <w:r>
        <w:rPr>
          <w:i/>
          <w:sz w:val="18"/>
          <w:szCs w:val="18"/>
        </w:rPr>
        <w:t>Fonte: Relatório Institucional - RIH</w:t>
      </w:r>
    </w:p>
    <w:p w:rsidR="00595709" w:rsidRDefault="00595709">
      <w:pPr>
        <w:spacing w:after="0" w:line="360" w:lineRule="auto"/>
        <w:jc w:val="both"/>
        <w:rPr>
          <w:rStyle w:val="Forte"/>
          <w:rFonts w:ascii="Arial" w:hAnsi="Arial" w:cs="Arial"/>
          <w:color w:val="000000" w:themeColor="text1"/>
          <w:sz w:val="24"/>
          <w:szCs w:val="24"/>
        </w:rPr>
      </w:pPr>
    </w:p>
    <w:p w:rsidR="00595709" w:rsidRDefault="00C14B4D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ATENDIMENTO DE URGÊNICA E EMERGÊNCIA</w:t>
      </w:r>
    </w:p>
    <w:p w:rsidR="00595709" w:rsidRDefault="00595709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595709" w:rsidRDefault="00C14B4D">
      <w:pPr>
        <w:spacing w:after="0" w:line="36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A emergência possui demanda de atendimento regulada e aberta para pacientes HIV, na sua maioria, pacientes que necessitam de atendimento especializado de infectologia e dermatologia e que adentram a unidade muitas vezes em precauções especiais (contato, gotículas ou respiratórias), dessa forma necessitando de isolamento, o que interfere na nossa capacidade de novas admissões, visto que, </w:t>
      </w:r>
      <w:proofErr w:type="gramStart"/>
      <w:r>
        <w:rPr>
          <w:rFonts w:ascii="Arial" w:hAnsi="Arial" w:cs="Arial"/>
          <w:color w:val="000000" w:themeColor="text1"/>
          <w:sz w:val="24"/>
          <w:szCs w:val="24"/>
        </w:rPr>
        <w:t>1</w:t>
      </w:r>
      <w:proofErr w:type="gramEnd"/>
      <w:r>
        <w:rPr>
          <w:rFonts w:ascii="Arial" w:hAnsi="Arial" w:cs="Arial"/>
          <w:color w:val="000000" w:themeColor="text1"/>
          <w:sz w:val="24"/>
          <w:szCs w:val="24"/>
        </w:rPr>
        <w:t xml:space="preserve"> paciente ocupa 2 leitos de observação, processo esse que somado a outros eventos, influenciam na nossa produção emergencial.</w:t>
      </w:r>
    </w:p>
    <w:p w:rsidR="00595709" w:rsidRDefault="00595709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595709" w:rsidRDefault="00C14B4D">
      <w:pPr>
        <w:spacing w:after="0" w:line="360" w:lineRule="auto"/>
        <w:jc w:val="center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000000" w:themeColor="text1"/>
          <w:sz w:val="24"/>
          <w:szCs w:val="24"/>
          <w:lang w:eastAsia="pt-BR"/>
        </w:rPr>
        <w:drawing>
          <wp:inline distT="0" distB="0" distL="0" distR="0">
            <wp:extent cx="4914900" cy="2657475"/>
            <wp:effectExtent l="19050" t="0" r="19050" b="0"/>
            <wp:docPr id="22" name="Gráfico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595709" w:rsidRDefault="00C14B4D">
      <w:pPr>
        <w:jc w:val="right"/>
        <w:rPr>
          <w:rStyle w:val="Forte"/>
          <w:b w:val="0"/>
          <w:bCs w:val="0"/>
          <w:i/>
          <w:sz w:val="18"/>
          <w:szCs w:val="18"/>
        </w:rPr>
      </w:pPr>
      <w:r>
        <w:rPr>
          <w:i/>
          <w:sz w:val="18"/>
          <w:szCs w:val="18"/>
        </w:rPr>
        <w:t>Fonte: Relatório Institucional - RIH</w:t>
      </w:r>
      <w:r w:rsidR="00B267E0" w:rsidRPr="00B267E0">
        <w:rPr>
          <w:rFonts w:ascii="Arial" w:hAnsi="Arial" w:cs="Arial"/>
          <w:b/>
          <w:bCs/>
          <w:color w:val="000000" w:themeColor="text1"/>
          <w:sz w:val="24"/>
          <w:szCs w:val="24"/>
          <w:lang w:eastAsia="pt-BR"/>
        </w:rPr>
        <w:pict>
          <v:shape id="Caixa de texto 11" o:spid="_x0000_s1027" type="#_x0000_t202" style="position:absolute;left:0;text-align:left;margin-left:254.15pt;margin-top:220.05pt;width:170.3pt;height:23.1pt;z-index:251665408;mso-position-horizontal-relative:text;mso-position-vertical-relative:text;mso-width-relative:page;mso-height-relative:page" o:gfxdata="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" stroked="f">
            <v:textbox>
              <w:txbxContent>
                <w:p w:rsidR="00595709" w:rsidRDefault="00C14B4D">
                  <w:pPr>
                    <w:rPr>
                      <w:i/>
                      <w:sz w:val="18"/>
                      <w:szCs w:val="18"/>
                    </w:rPr>
                  </w:pPr>
                  <w:r>
                    <w:rPr>
                      <w:i/>
                      <w:sz w:val="18"/>
                      <w:szCs w:val="18"/>
                    </w:rPr>
                    <w:t>Fonte: Relatório Institucional - RIH</w:t>
                  </w:r>
                </w:p>
              </w:txbxContent>
            </v:textbox>
          </v:shape>
        </w:pict>
      </w:r>
    </w:p>
    <w:p w:rsidR="00595709" w:rsidRDefault="00595709">
      <w:pPr>
        <w:spacing w:after="0" w:line="360" w:lineRule="auto"/>
        <w:jc w:val="both"/>
        <w:rPr>
          <w:rStyle w:val="Forte"/>
          <w:rFonts w:ascii="Arial" w:hAnsi="Arial" w:cs="Arial"/>
          <w:color w:val="000000" w:themeColor="text1"/>
          <w:sz w:val="24"/>
          <w:szCs w:val="24"/>
        </w:rPr>
      </w:pPr>
    </w:p>
    <w:p w:rsidR="00595709" w:rsidRDefault="00C14B4D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HOSPITAL DIA</w:t>
      </w:r>
    </w:p>
    <w:p w:rsidR="00595709" w:rsidRDefault="00595709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595709" w:rsidRDefault="00C14B4D">
      <w:pPr>
        <w:spacing w:after="0" w:line="36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O Hospital Dia recebe pacientes específicos do HDT que não necessitam de internação hospitalar, mas que precisam fazer uso de medicações endovenosas. O setor está contemplado com 10 leitos e consegue até o momento, atender a demanda necessária, sendo os pacientes acompanhados por assistência completa de médico, enfermeiro e técnico de enfermagem.</w:t>
      </w:r>
    </w:p>
    <w:p w:rsidR="00595709" w:rsidRDefault="00595709">
      <w:pPr>
        <w:spacing w:after="0" w:line="36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595709" w:rsidRDefault="00C14B4D">
      <w:pPr>
        <w:spacing w:after="0" w:line="36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000000" w:themeColor="text1"/>
          <w:sz w:val="24"/>
          <w:szCs w:val="24"/>
          <w:lang w:eastAsia="pt-BR"/>
        </w:rPr>
        <w:drawing>
          <wp:inline distT="0" distB="0" distL="0" distR="0">
            <wp:extent cx="4314825" cy="1847850"/>
            <wp:effectExtent l="19050" t="0" r="9525" b="0"/>
            <wp:docPr id="25" name="Gráfico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595709" w:rsidRDefault="00C14B4D">
      <w:pPr>
        <w:jc w:val="right"/>
        <w:rPr>
          <w:rStyle w:val="Forte"/>
          <w:b w:val="0"/>
          <w:bCs w:val="0"/>
          <w:i/>
          <w:sz w:val="18"/>
          <w:szCs w:val="18"/>
        </w:rPr>
      </w:pPr>
      <w:r>
        <w:rPr>
          <w:i/>
          <w:sz w:val="18"/>
          <w:szCs w:val="18"/>
        </w:rPr>
        <w:t>Fonte: Relatório Institucional - RIH</w:t>
      </w:r>
    </w:p>
    <w:p w:rsidR="00595709" w:rsidRDefault="00C14B4D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CENTRO CIRURGICO</w:t>
      </w:r>
    </w:p>
    <w:p w:rsidR="00595709" w:rsidRDefault="00595709">
      <w:pPr>
        <w:spacing w:after="0" w:line="360" w:lineRule="auto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:rsidR="00595709" w:rsidRDefault="00C14B4D">
      <w:pPr>
        <w:spacing w:after="0" w:line="36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O Centro Cirúrgico do HDT possui 03 salas, sendo uma exclusiva para a realização de exames diagnósticos (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colonoscopia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, endoscopia,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broncoscopia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e punção Lombar) e dois leitos de recuperação pós – anestésica.</w:t>
      </w:r>
    </w:p>
    <w:p w:rsidR="00595709" w:rsidRDefault="00595709">
      <w:pPr>
        <w:spacing w:after="0" w:line="36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595709" w:rsidRDefault="00C14B4D">
      <w:pPr>
        <w:spacing w:after="0" w:line="360" w:lineRule="auto"/>
        <w:ind w:firstLine="360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000000" w:themeColor="text1"/>
          <w:sz w:val="24"/>
          <w:szCs w:val="24"/>
          <w:lang w:eastAsia="pt-BR"/>
        </w:rPr>
        <w:drawing>
          <wp:inline distT="0" distB="0" distL="0" distR="0">
            <wp:extent cx="5514975" cy="2381250"/>
            <wp:effectExtent l="19050" t="0" r="9525" b="0"/>
            <wp:docPr id="29" name="Gráfico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595709" w:rsidRDefault="00C14B4D">
      <w:pPr>
        <w:jc w:val="right"/>
        <w:rPr>
          <w:i/>
          <w:sz w:val="18"/>
          <w:szCs w:val="18"/>
        </w:rPr>
      </w:pPr>
      <w:r>
        <w:rPr>
          <w:i/>
          <w:sz w:val="18"/>
          <w:szCs w:val="18"/>
        </w:rPr>
        <w:t>Fonte: Relatório Institucional - RIH</w:t>
      </w:r>
    </w:p>
    <w:p w:rsidR="00595709" w:rsidRDefault="00595709">
      <w:pPr>
        <w:spacing w:after="0" w:line="360" w:lineRule="auto"/>
        <w:ind w:left="851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:rsidR="00595709" w:rsidRDefault="00C14B4D">
      <w:pPr>
        <w:spacing w:after="0" w:line="360" w:lineRule="auto"/>
        <w:ind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 Centro Cirúrgico do HDT tem </w:t>
      </w:r>
      <w:proofErr w:type="gramStart"/>
      <w:r>
        <w:rPr>
          <w:rFonts w:ascii="Arial" w:hAnsi="Arial" w:cs="Arial"/>
          <w:sz w:val="24"/>
          <w:szCs w:val="24"/>
        </w:rPr>
        <w:t>baixa</w:t>
      </w:r>
      <w:proofErr w:type="gramEnd"/>
      <w:r>
        <w:rPr>
          <w:rFonts w:ascii="Arial" w:hAnsi="Arial" w:cs="Arial"/>
          <w:sz w:val="24"/>
          <w:szCs w:val="24"/>
        </w:rPr>
        <w:t xml:space="preserve"> demanda e não possui meta contratual, sendo destinado ao atendimento exclusivo dos pacientes internados na instituição.</w:t>
      </w:r>
    </w:p>
    <w:p w:rsidR="00595709" w:rsidRDefault="00595709">
      <w:pPr>
        <w:spacing w:after="0" w:line="360" w:lineRule="auto"/>
        <w:ind w:firstLine="708"/>
        <w:rPr>
          <w:rFonts w:ascii="Arial" w:hAnsi="Arial" w:cs="Arial"/>
          <w:sz w:val="24"/>
          <w:szCs w:val="24"/>
        </w:rPr>
      </w:pPr>
    </w:p>
    <w:p w:rsidR="00595709" w:rsidRDefault="00C14B4D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ATENDIMENTO AMBULATORIAL</w:t>
      </w:r>
    </w:p>
    <w:p w:rsidR="00595709" w:rsidRDefault="00595709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595709" w:rsidRDefault="00C14B4D">
      <w:pPr>
        <w:spacing w:after="0" w:line="36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O atendimento ambulatorial abrange:</w:t>
      </w:r>
    </w:p>
    <w:p w:rsidR="00595709" w:rsidRDefault="00C14B4D">
      <w:pPr>
        <w:pStyle w:val="PargrafodaLista"/>
        <w:numPr>
          <w:ilvl w:val="0"/>
          <w:numId w:val="5"/>
        </w:numPr>
        <w:spacing w:after="0" w:line="360" w:lineRule="auto"/>
        <w:ind w:left="1560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Primeira consulta e/ou primeira consulta de egresso;</w:t>
      </w:r>
    </w:p>
    <w:p w:rsidR="00595709" w:rsidRDefault="00C14B4D">
      <w:pPr>
        <w:pStyle w:val="PargrafodaLista"/>
        <w:numPr>
          <w:ilvl w:val="0"/>
          <w:numId w:val="5"/>
        </w:numPr>
        <w:spacing w:after="0" w:line="360" w:lineRule="auto"/>
        <w:ind w:left="1560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Interconsulta;</w:t>
      </w:r>
    </w:p>
    <w:p w:rsidR="00595709" w:rsidRDefault="00C14B4D">
      <w:pPr>
        <w:pStyle w:val="PargrafodaLista"/>
        <w:numPr>
          <w:ilvl w:val="0"/>
          <w:numId w:val="5"/>
        </w:numPr>
        <w:spacing w:after="0" w:line="360" w:lineRule="auto"/>
        <w:ind w:left="1560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Consultas subsequentes (retornos).</w:t>
      </w:r>
    </w:p>
    <w:p w:rsidR="00595709" w:rsidRDefault="00595709">
      <w:pPr>
        <w:pStyle w:val="PargrafodaLista"/>
        <w:spacing w:after="0" w:line="360" w:lineRule="auto"/>
        <w:ind w:left="108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595709" w:rsidRDefault="00C14B4D">
      <w:pPr>
        <w:spacing w:after="0" w:line="36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A </w:t>
      </w:r>
      <w:r>
        <w:rPr>
          <w:rFonts w:ascii="Arial" w:hAnsi="Arial" w:cs="Arial"/>
          <w:i/>
          <w:color w:val="000000" w:themeColor="text1"/>
          <w:sz w:val="24"/>
          <w:szCs w:val="24"/>
        </w:rPr>
        <w:t>primeira consulta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é a visita inicial do paciente encaminhado pela Central de Regulação do Estado ou Município ao Hospital, para atendimento da área de infectologia ou dermatologia.</w:t>
      </w:r>
    </w:p>
    <w:p w:rsidR="00595709" w:rsidRDefault="00C14B4D">
      <w:pPr>
        <w:spacing w:after="0" w:line="36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A </w:t>
      </w:r>
      <w:r>
        <w:rPr>
          <w:rFonts w:ascii="Arial" w:hAnsi="Arial" w:cs="Arial"/>
          <w:i/>
          <w:color w:val="000000" w:themeColor="text1"/>
          <w:sz w:val="24"/>
          <w:szCs w:val="24"/>
        </w:rPr>
        <w:t>primeira consulta de egresso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é quando o paciente é encaminhado pela própria instituição para acompanhamento ambulatorial, tendo sua consulta agendada no momento da alta hospitalar, para atendimento a especialidade referida.</w:t>
      </w:r>
    </w:p>
    <w:p w:rsidR="00595709" w:rsidRDefault="00C14B4D">
      <w:pPr>
        <w:spacing w:after="0" w:line="36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A </w:t>
      </w:r>
      <w:r>
        <w:rPr>
          <w:rFonts w:ascii="Arial" w:hAnsi="Arial" w:cs="Arial"/>
          <w:i/>
          <w:color w:val="000000" w:themeColor="text1"/>
          <w:sz w:val="24"/>
          <w:szCs w:val="24"/>
        </w:rPr>
        <w:t>interconsulta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é a consulta realizada por outro profissional de outra especialidade, com solicitação gerada pela própria instituição.</w:t>
      </w:r>
    </w:p>
    <w:p w:rsidR="00595709" w:rsidRDefault="00C14B4D">
      <w:pPr>
        <w:spacing w:after="0" w:line="36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A </w:t>
      </w:r>
      <w:r>
        <w:rPr>
          <w:rFonts w:ascii="Arial" w:hAnsi="Arial" w:cs="Arial"/>
          <w:i/>
          <w:color w:val="000000" w:themeColor="text1"/>
          <w:sz w:val="24"/>
          <w:szCs w:val="24"/>
        </w:rPr>
        <w:t>consulta subsequente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são todas as consultas de segmento ambulatorial, decorrentes tanto das consultas oferecidas a rede básica de saúde quanto as subsequentes das interconsultas.</w:t>
      </w:r>
    </w:p>
    <w:p w:rsidR="00595709" w:rsidRDefault="00C14B4D">
      <w:pPr>
        <w:spacing w:after="0" w:line="36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O ambulatório do HDT dispõe de várias especialidades para atender seu público, englobando em seu corpo clínico especialidades como: cardiologia, cirurgia torácica, dermatologia, endocrinologia,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gastroenterologia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, infectologia </w:t>
      </w:r>
      <w:proofErr w:type="gramStart"/>
      <w:r>
        <w:rPr>
          <w:rFonts w:ascii="Arial" w:hAnsi="Arial" w:cs="Arial"/>
          <w:color w:val="000000" w:themeColor="text1"/>
          <w:sz w:val="24"/>
          <w:szCs w:val="24"/>
        </w:rPr>
        <w:t>adulto e pediátrica</w:t>
      </w:r>
      <w:proofErr w:type="gramEnd"/>
      <w:r>
        <w:rPr>
          <w:rFonts w:ascii="Arial" w:hAnsi="Arial" w:cs="Arial"/>
          <w:color w:val="000000" w:themeColor="text1"/>
          <w:sz w:val="24"/>
          <w:szCs w:val="24"/>
        </w:rPr>
        <w:t>, nefrologia, neurologia, ginecologia, hematologia, psiquiatria e tisiologia.</w:t>
      </w:r>
    </w:p>
    <w:p w:rsidR="00595709" w:rsidRDefault="00C14B4D">
      <w:pPr>
        <w:spacing w:after="0" w:line="360" w:lineRule="auto"/>
        <w:ind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Além das consultas médicas, o HDT disponibiliza atendimento não médico no âmbito da farmácia clínica e adesão (psicologia).</w:t>
      </w:r>
    </w:p>
    <w:p w:rsidR="00595709" w:rsidRDefault="00595709">
      <w:pPr>
        <w:spacing w:after="0" w:line="360" w:lineRule="auto"/>
        <w:ind w:firstLine="708"/>
        <w:rPr>
          <w:rFonts w:ascii="Arial" w:hAnsi="Arial" w:cs="Arial"/>
          <w:sz w:val="24"/>
          <w:szCs w:val="24"/>
        </w:rPr>
      </w:pPr>
    </w:p>
    <w:p w:rsidR="00595709" w:rsidRDefault="00C14B4D">
      <w:pPr>
        <w:spacing w:after="0" w:line="360" w:lineRule="auto"/>
        <w:ind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4752975" cy="2552700"/>
            <wp:effectExtent l="4445" t="4445" r="5080" b="14605"/>
            <wp:docPr id="33" name="Gráfico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595709" w:rsidRDefault="00C14B4D">
      <w:pPr>
        <w:jc w:val="right"/>
        <w:rPr>
          <w:i/>
          <w:sz w:val="18"/>
          <w:szCs w:val="18"/>
        </w:rPr>
      </w:pPr>
      <w:r>
        <w:rPr>
          <w:i/>
          <w:sz w:val="18"/>
          <w:szCs w:val="18"/>
        </w:rPr>
        <w:t>Fonte: Relatório Institucional - RIH</w:t>
      </w:r>
    </w:p>
    <w:p w:rsidR="00595709" w:rsidRDefault="00595709">
      <w:pPr>
        <w:spacing w:after="0" w:line="360" w:lineRule="auto"/>
        <w:rPr>
          <w:rStyle w:val="Forte"/>
          <w:rFonts w:ascii="Arial" w:hAnsi="Arial" w:cs="Arial"/>
          <w:color w:val="000000" w:themeColor="text1"/>
          <w:sz w:val="24"/>
          <w:szCs w:val="24"/>
        </w:rPr>
      </w:pPr>
    </w:p>
    <w:p w:rsidR="00595709" w:rsidRDefault="00C14B4D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proofErr w:type="gramStart"/>
      <w:r>
        <w:rPr>
          <w:rFonts w:ascii="Arial" w:hAnsi="Arial" w:cs="Arial"/>
          <w:color w:val="000000" w:themeColor="text1"/>
          <w:sz w:val="24"/>
          <w:szCs w:val="24"/>
        </w:rPr>
        <w:t>SERVIÇOS DE APOIO DIAGNOSTICO</w:t>
      </w:r>
      <w:proofErr w:type="gramEnd"/>
      <w:r>
        <w:rPr>
          <w:rFonts w:ascii="Arial" w:hAnsi="Arial" w:cs="Arial"/>
          <w:color w:val="000000" w:themeColor="text1"/>
          <w:sz w:val="24"/>
          <w:szCs w:val="24"/>
        </w:rPr>
        <w:t xml:space="preserve"> E TERAPÊUTICO – SADT</w:t>
      </w:r>
    </w:p>
    <w:p w:rsidR="00595709" w:rsidRDefault="00595709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595709" w:rsidRDefault="00C14B4D">
      <w:pPr>
        <w:spacing w:after="0" w:line="360" w:lineRule="auto"/>
        <w:ind w:left="-142" w:firstLine="850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O Serviço de Apoio Diagnóstico e Terapêutico é uma modalidade de prestação de serviços que auxilia o diagnóstico ou realiza procedimentos terapêuticos através de exames complementares, sejam exames laboratoriais como exames de imagem. </w:t>
      </w:r>
    </w:p>
    <w:p w:rsidR="00595709" w:rsidRDefault="00C14B4D">
      <w:pPr>
        <w:spacing w:after="0" w:line="360" w:lineRule="auto"/>
        <w:ind w:left="-142" w:firstLine="850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O SADT do HDT oferece os seguintes exames para os pacientes: exames de imagem (</w:t>
      </w:r>
      <w:proofErr w:type="gramStart"/>
      <w:r>
        <w:rPr>
          <w:rFonts w:ascii="Arial" w:hAnsi="Arial" w:cs="Arial"/>
          <w:color w:val="000000" w:themeColor="text1"/>
          <w:sz w:val="24"/>
          <w:szCs w:val="24"/>
        </w:rPr>
        <w:t>raio X</w:t>
      </w:r>
      <w:proofErr w:type="gramEnd"/>
      <w:r>
        <w:rPr>
          <w:rFonts w:ascii="Arial" w:hAnsi="Arial" w:cs="Arial"/>
          <w:color w:val="000000" w:themeColor="text1"/>
          <w:sz w:val="24"/>
          <w:szCs w:val="24"/>
        </w:rPr>
        <w:t xml:space="preserve">, Tomografia, ultrassonografia),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ecocardiograma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, eletrocardiograma,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elastrografia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hepática, endoscopia,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broncoscopia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colonoscopia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>, exames laboratoriais de análises clínicas e anatomia patológica.</w:t>
      </w:r>
    </w:p>
    <w:p w:rsidR="00595709" w:rsidRDefault="00C14B4D">
      <w:pPr>
        <w:spacing w:after="0" w:line="360" w:lineRule="auto"/>
        <w:ind w:left="-142" w:firstLine="850"/>
        <w:jc w:val="both"/>
        <w:rPr>
          <w:rStyle w:val="nfase"/>
          <w:rFonts w:ascii="Arial" w:hAnsi="Arial" w:cs="Arial"/>
          <w:bCs/>
          <w:i w:val="0"/>
          <w:sz w:val="24"/>
          <w:szCs w:val="24"/>
        </w:rPr>
      </w:pPr>
      <w:proofErr w:type="gramStart"/>
      <w:r>
        <w:rPr>
          <w:rStyle w:val="nfase"/>
          <w:rFonts w:ascii="Arial" w:hAnsi="Arial" w:cs="Arial"/>
          <w:bCs/>
          <w:i w:val="0"/>
          <w:sz w:val="24"/>
          <w:szCs w:val="24"/>
        </w:rPr>
        <w:t>O Laboratório</w:t>
      </w:r>
      <w:r>
        <w:rPr>
          <w:rStyle w:val="nfase"/>
          <w:rFonts w:ascii="Arial" w:hAnsi="Arial" w:cs="Arial"/>
          <w:bCs/>
          <w:i w:val="0"/>
          <w:sz w:val="24"/>
          <w:szCs w:val="24"/>
          <w:shd w:val="clear" w:color="auto" w:fill="FFFFFF"/>
        </w:rPr>
        <w:t> de Análises Clínicas e Anatomia Patológica é</w:t>
      </w:r>
      <w:proofErr w:type="gramEnd"/>
      <w:r>
        <w:rPr>
          <w:rStyle w:val="nfase"/>
          <w:rFonts w:ascii="Arial" w:hAnsi="Arial" w:cs="Arial"/>
          <w:bCs/>
          <w:i w:val="0"/>
          <w:sz w:val="24"/>
          <w:szCs w:val="24"/>
          <w:shd w:val="clear" w:color="auto" w:fill="FFFFFF"/>
        </w:rPr>
        <w:t xml:space="preserve"> responsável por auxiliar o médico na detecção de patologias através de exames em materiais biológicos com finalidade de fornecer </w:t>
      </w:r>
      <w:r>
        <w:rPr>
          <w:rStyle w:val="nfase"/>
          <w:rFonts w:ascii="Arial" w:hAnsi="Arial" w:cs="Arial"/>
          <w:bCs/>
          <w:i w:val="0"/>
          <w:sz w:val="24"/>
          <w:szCs w:val="24"/>
        </w:rPr>
        <w:t xml:space="preserve">informações para diagnóstico, prevenção, tratamento de doenças ou avaliação da saúde de seres humanos. </w:t>
      </w:r>
    </w:p>
    <w:p w:rsidR="00595709" w:rsidRDefault="00C14B4D">
      <w:pPr>
        <w:spacing w:after="0" w:line="360" w:lineRule="auto"/>
        <w:ind w:left="-142" w:firstLine="850"/>
        <w:jc w:val="both"/>
        <w:rPr>
          <w:rStyle w:val="nfase"/>
          <w:rFonts w:ascii="Arial" w:hAnsi="Arial" w:cs="Arial"/>
          <w:bCs/>
          <w:i w:val="0"/>
          <w:sz w:val="24"/>
          <w:szCs w:val="24"/>
          <w:shd w:val="clear" w:color="auto" w:fill="FFFFFF"/>
        </w:rPr>
      </w:pPr>
      <w:r>
        <w:rPr>
          <w:rStyle w:val="nfase"/>
          <w:rFonts w:ascii="Arial" w:hAnsi="Arial" w:cs="Arial"/>
          <w:bCs/>
          <w:i w:val="0"/>
          <w:sz w:val="24"/>
          <w:szCs w:val="24"/>
        </w:rPr>
        <w:t xml:space="preserve">Através do estudo de fluidos corporais colhidos do paciente, como por exemplo, sangue, urina, saliva, fezes, esperma, fragmentos de tecido, líquido </w:t>
      </w:r>
      <w:proofErr w:type="spellStart"/>
      <w:r>
        <w:rPr>
          <w:rStyle w:val="nfase"/>
          <w:rFonts w:ascii="Arial" w:hAnsi="Arial" w:cs="Arial"/>
          <w:bCs/>
          <w:i w:val="0"/>
          <w:sz w:val="24"/>
          <w:szCs w:val="24"/>
        </w:rPr>
        <w:t>sinovial</w:t>
      </w:r>
      <w:proofErr w:type="spellEnd"/>
      <w:r>
        <w:rPr>
          <w:rStyle w:val="nfase"/>
          <w:rFonts w:ascii="Arial" w:hAnsi="Arial" w:cs="Arial"/>
          <w:bCs/>
          <w:i w:val="0"/>
          <w:sz w:val="24"/>
          <w:szCs w:val="24"/>
        </w:rPr>
        <w:t>, pleural, líquido cefalorraquidiano é possível realizar </w:t>
      </w:r>
      <w:r>
        <w:rPr>
          <w:rStyle w:val="nfase"/>
          <w:rFonts w:ascii="Arial" w:hAnsi="Arial" w:cs="Arial"/>
          <w:bCs/>
          <w:i w:val="0"/>
          <w:sz w:val="24"/>
          <w:szCs w:val="24"/>
          <w:shd w:val="clear" w:color="auto" w:fill="FFFFFF"/>
        </w:rPr>
        <w:t xml:space="preserve">uma grande variedade de exames com diferentes complexidades, como um hemograma, dosagens bioquímicas, dosagens de </w:t>
      </w:r>
      <w:proofErr w:type="spellStart"/>
      <w:r>
        <w:rPr>
          <w:rStyle w:val="nfase"/>
          <w:rFonts w:ascii="Arial" w:hAnsi="Arial" w:cs="Arial"/>
          <w:bCs/>
          <w:i w:val="0"/>
          <w:sz w:val="24"/>
          <w:szCs w:val="24"/>
          <w:shd w:val="clear" w:color="auto" w:fill="FFFFFF"/>
        </w:rPr>
        <w:t>imunohormônios</w:t>
      </w:r>
      <w:proofErr w:type="spellEnd"/>
      <w:r>
        <w:rPr>
          <w:rStyle w:val="nfase"/>
          <w:rFonts w:ascii="Arial" w:hAnsi="Arial" w:cs="Arial"/>
          <w:bCs/>
          <w:i w:val="0"/>
          <w:sz w:val="24"/>
          <w:szCs w:val="24"/>
          <w:shd w:val="clear" w:color="auto" w:fill="FFFFFF"/>
        </w:rPr>
        <w:t xml:space="preserve">, pesquisas hematológicas, parasitológicas, de </w:t>
      </w:r>
      <w:proofErr w:type="spellStart"/>
      <w:r>
        <w:rPr>
          <w:rStyle w:val="nfase"/>
          <w:rFonts w:ascii="Arial" w:hAnsi="Arial" w:cs="Arial"/>
          <w:bCs/>
          <w:i w:val="0"/>
          <w:sz w:val="24"/>
          <w:szCs w:val="24"/>
          <w:shd w:val="clear" w:color="auto" w:fill="FFFFFF"/>
        </w:rPr>
        <w:t>uroanálise</w:t>
      </w:r>
      <w:proofErr w:type="spellEnd"/>
      <w:r>
        <w:rPr>
          <w:rStyle w:val="nfase"/>
          <w:rFonts w:ascii="Arial" w:hAnsi="Arial" w:cs="Arial"/>
          <w:bCs/>
          <w:i w:val="0"/>
          <w:sz w:val="24"/>
          <w:szCs w:val="24"/>
          <w:shd w:val="clear" w:color="auto" w:fill="FFFFFF"/>
        </w:rPr>
        <w:t xml:space="preserve">, microbiológicas, </w:t>
      </w:r>
      <w:proofErr w:type="spellStart"/>
      <w:r>
        <w:rPr>
          <w:rStyle w:val="nfase"/>
          <w:rFonts w:ascii="Arial" w:hAnsi="Arial" w:cs="Arial"/>
          <w:bCs/>
          <w:i w:val="0"/>
          <w:sz w:val="24"/>
          <w:szCs w:val="24"/>
          <w:shd w:val="clear" w:color="auto" w:fill="FFFFFF"/>
        </w:rPr>
        <w:t>citopatologia</w:t>
      </w:r>
      <w:proofErr w:type="spellEnd"/>
      <w:r>
        <w:rPr>
          <w:rStyle w:val="nfase"/>
          <w:rFonts w:ascii="Arial" w:hAnsi="Arial" w:cs="Arial"/>
          <w:bCs/>
          <w:i w:val="0"/>
          <w:sz w:val="24"/>
          <w:szCs w:val="24"/>
          <w:shd w:val="clear" w:color="auto" w:fill="FFFFFF"/>
        </w:rPr>
        <w:t>, biópsias, citologia oncótica até diagnóstico de doenças infecciosas, dentre outros. </w:t>
      </w:r>
    </w:p>
    <w:p w:rsidR="00595709" w:rsidRDefault="00C14B4D">
      <w:pPr>
        <w:spacing w:after="0" w:line="360" w:lineRule="auto"/>
        <w:ind w:left="-142" w:firstLine="850"/>
        <w:jc w:val="both"/>
        <w:rPr>
          <w:rStyle w:val="nfase"/>
          <w:rFonts w:ascii="Arial" w:hAnsi="Arial" w:cs="Arial"/>
          <w:bCs/>
          <w:i w:val="0"/>
          <w:sz w:val="24"/>
          <w:szCs w:val="24"/>
        </w:rPr>
      </w:pPr>
      <w:r>
        <w:rPr>
          <w:rStyle w:val="nfase"/>
          <w:rFonts w:ascii="Arial" w:hAnsi="Arial" w:cs="Arial"/>
          <w:bCs/>
          <w:i w:val="0"/>
          <w:sz w:val="24"/>
          <w:szCs w:val="24"/>
        </w:rPr>
        <w:lastRenderedPageBreak/>
        <w:t>Os exames laboratoriais estão entre os principais e mais utilizados recursos no apoio diagnóstico à prática clínica, o que traz repercussões importantes no cuidado ao paciente e custos ao sistema de saúde.</w:t>
      </w:r>
    </w:p>
    <w:p w:rsidR="00595709" w:rsidRDefault="00595709">
      <w:pPr>
        <w:spacing w:after="0" w:line="360" w:lineRule="auto"/>
        <w:ind w:left="-142" w:firstLine="850"/>
        <w:jc w:val="both"/>
        <w:rPr>
          <w:rStyle w:val="nfase"/>
          <w:rFonts w:ascii="Arial" w:hAnsi="Arial" w:cs="Arial"/>
          <w:bCs/>
          <w:i w:val="0"/>
          <w:sz w:val="24"/>
          <w:szCs w:val="24"/>
        </w:rPr>
      </w:pPr>
    </w:p>
    <w:p w:rsidR="00595709" w:rsidRDefault="00C14B4D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Style w:val="nfase"/>
          <w:rFonts w:ascii="Arial" w:hAnsi="Arial" w:cs="Arial"/>
          <w:bCs/>
          <w:i w:val="0"/>
          <w:noProof/>
          <w:sz w:val="24"/>
          <w:lang w:eastAsia="pt-BR"/>
        </w:rPr>
        <w:drawing>
          <wp:inline distT="0" distB="0" distL="0" distR="0">
            <wp:extent cx="5514975" cy="2533650"/>
            <wp:effectExtent l="4445" t="4445" r="5080" b="14605"/>
            <wp:docPr id="35" name="Gráfico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595709" w:rsidRDefault="00C14B4D">
      <w:pPr>
        <w:jc w:val="right"/>
        <w:rPr>
          <w:i/>
          <w:sz w:val="18"/>
          <w:szCs w:val="18"/>
        </w:rPr>
      </w:pPr>
      <w:r>
        <w:rPr>
          <w:i/>
          <w:sz w:val="18"/>
          <w:szCs w:val="18"/>
        </w:rPr>
        <w:t>Fonte: Relatório Institucional - RIH</w:t>
      </w:r>
    </w:p>
    <w:p w:rsidR="00595709" w:rsidRDefault="00595709">
      <w:pPr>
        <w:spacing w:after="0" w:line="360" w:lineRule="auto"/>
        <w:ind w:left="-142" w:firstLine="502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595709" w:rsidRDefault="00595709">
      <w:pPr>
        <w:tabs>
          <w:tab w:val="left" w:pos="3510"/>
        </w:tabs>
        <w:spacing w:after="0" w:line="360" w:lineRule="auto"/>
        <w:ind w:left="851"/>
        <w:rPr>
          <w:rFonts w:ascii="Arial" w:hAnsi="Arial" w:cs="Arial"/>
          <w:sz w:val="24"/>
          <w:szCs w:val="24"/>
        </w:rPr>
      </w:pPr>
    </w:p>
    <w:p w:rsidR="00595709" w:rsidRDefault="00595709">
      <w:pPr>
        <w:tabs>
          <w:tab w:val="left" w:pos="0"/>
        </w:tabs>
        <w:spacing w:after="0" w:line="360" w:lineRule="auto"/>
        <w:rPr>
          <w:rFonts w:ascii="Arial" w:hAnsi="Arial" w:cs="Arial"/>
          <w:sz w:val="24"/>
          <w:szCs w:val="24"/>
        </w:rPr>
      </w:pPr>
    </w:p>
    <w:p w:rsidR="00595709" w:rsidRDefault="00595709">
      <w:pPr>
        <w:spacing w:after="0" w:line="360" w:lineRule="auto"/>
        <w:ind w:left="360"/>
        <w:rPr>
          <w:rFonts w:ascii="Arial" w:hAnsi="Arial" w:cs="Arial"/>
          <w:color w:val="002060"/>
          <w:sz w:val="36"/>
          <w:szCs w:val="36"/>
        </w:rPr>
      </w:pPr>
    </w:p>
    <w:p w:rsidR="00595709" w:rsidRDefault="00595709">
      <w:pPr>
        <w:rPr>
          <w:rFonts w:ascii="Arial" w:hAnsi="Arial" w:cs="Arial"/>
          <w:color w:val="002060"/>
          <w:sz w:val="36"/>
          <w:szCs w:val="36"/>
        </w:rPr>
      </w:pPr>
    </w:p>
    <w:p w:rsidR="00595709" w:rsidRDefault="00595709">
      <w:pPr>
        <w:rPr>
          <w:rFonts w:ascii="Arial" w:hAnsi="Arial" w:cs="Arial"/>
          <w:color w:val="002060"/>
          <w:sz w:val="36"/>
          <w:szCs w:val="36"/>
        </w:rPr>
      </w:pPr>
    </w:p>
    <w:p w:rsidR="00595709" w:rsidRDefault="00595709">
      <w:pPr>
        <w:rPr>
          <w:rFonts w:ascii="Arial" w:hAnsi="Arial" w:cs="Arial"/>
          <w:color w:val="002060"/>
          <w:sz w:val="36"/>
          <w:szCs w:val="36"/>
        </w:rPr>
      </w:pPr>
    </w:p>
    <w:p w:rsidR="00595709" w:rsidRDefault="00595709">
      <w:pPr>
        <w:rPr>
          <w:rFonts w:ascii="Arial" w:hAnsi="Arial" w:cs="Arial"/>
          <w:color w:val="002060"/>
          <w:sz w:val="36"/>
          <w:szCs w:val="36"/>
        </w:rPr>
      </w:pPr>
    </w:p>
    <w:p w:rsidR="00595709" w:rsidRDefault="00595709">
      <w:pPr>
        <w:rPr>
          <w:rFonts w:ascii="Arial" w:hAnsi="Arial" w:cs="Arial"/>
          <w:color w:val="002060"/>
          <w:sz w:val="36"/>
          <w:szCs w:val="36"/>
        </w:rPr>
      </w:pPr>
    </w:p>
    <w:p w:rsidR="00595709" w:rsidRDefault="00595709">
      <w:pPr>
        <w:rPr>
          <w:rFonts w:ascii="Arial" w:hAnsi="Arial" w:cs="Arial"/>
          <w:color w:val="002060"/>
          <w:sz w:val="36"/>
          <w:szCs w:val="36"/>
        </w:rPr>
      </w:pPr>
    </w:p>
    <w:p w:rsidR="00595709" w:rsidRDefault="00595709">
      <w:pPr>
        <w:rPr>
          <w:rFonts w:ascii="Arial" w:hAnsi="Arial" w:cs="Arial"/>
          <w:color w:val="002060"/>
          <w:sz w:val="36"/>
          <w:szCs w:val="36"/>
        </w:rPr>
      </w:pPr>
    </w:p>
    <w:p w:rsidR="00595709" w:rsidRDefault="00595709">
      <w:pPr>
        <w:rPr>
          <w:rFonts w:ascii="Arial" w:hAnsi="Arial" w:cs="Arial"/>
          <w:color w:val="002060"/>
          <w:sz w:val="36"/>
          <w:szCs w:val="36"/>
        </w:rPr>
      </w:pPr>
    </w:p>
    <w:p w:rsidR="00595709" w:rsidRDefault="00595709">
      <w:pPr>
        <w:pStyle w:val="Ttulo1"/>
        <w:rPr>
          <w:rFonts w:ascii="Arial" w:hAnsi="Arial" w:cs="Arial"/>
          <w:color w:val="000000" w:themeColor="text1"/>
          <w:sz w:val="24"/>
          <w:szCs w:val="24"/>
        </w:rPr>
      </w:pPr>
      <w:bookmarkStart w:id="4" w:name="_Toc44681919"/>
    </w:p>
    <w:p w:rsidR="00595709" w:rsidRDefault="00C14B4D">
      <w:pPr>
        <w:pStyle w:val="Ttulo1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METAS DE PRODUÇÃO SEMESTRAL E RESULTADOS ALCANÇADOS</w:t>
      </w:r>
      <w:bookmarkEnd w:id="4"/>
    </w:p>
    <w:p w:rsidR="00595709" w:rsidRDefault="00595709"/>
    <w:p w:rsidR="00595709" w:rsidRDefault="00C14B4D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Comparativo entre as metas propostas e os resultados alcançados.</w:t>
      </w:r>
    </w:p>
    <w:p w:rsidR="00595709" w:rsidRDefault="00595709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</w:p>
    <w:tbl>
      <w:tblPr>
        <w:tblStyle w:val="SombreamentoClaro-nfase3"/>
        <w:tblW w:w="0" w:type="auto"/>
        <w:jc w:val="center"/>
        <w:tblLook w:val="04A0"/>
      </w:tblPr>
      <w:tblGrid>
        <w:gridCol w:w="2302"/>
        <w:gridCol w:w="2303"/>
        <w:gridCol w:w="2303"/>
      </w:tblGrid>
      <w:tr w:rsidR="00595709" w:rsidTr="00595709">
        <w:trPr>
          <w:cnfStyle w:val="100000000000"/>
          <w:jc w:val="center"/>
        </w:trPr>
        <w:tc>
          <w:tcPr>
            <w:cnfStyle w:val="001000000000"/>
            <w:tcW w:w="2302" w:type="dxa"/>
          </w:tcPr>
          <w:p w:rsidR="00595709" w:rsidRDefault="00C14B4D">
            <w:pPr>
              <w:spacing w:line="360" w:lineRule="auto"/>
              <w:jc w:val="center"/>
              <w:rPr>
                <w:rFonts w:ascii="Arial" w:hAnsi="Arial" w:cs="Arial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</w:rPr>
              <w:t>Atividade</w:t>
            </w:r>
          </w:p>
        </w:tc>
        <w:tc>
          <w:tcPr>
            <w:tcW w:w="2303" w:type="dxa"/>
          </w:tcPr>
          <w:p w:rsidR="00595709" w:rsidRDefault="00C14B4D">
            <w:pPr>
              <w:spacing w:line="360" w:lineRule="auto"/>
              <w:jc w:val="center"/>
              <w:cnfStyle w:val="100000000000"/>
              <w:rPr>
                <w:rFonts w:ascii="Arial" w:hAnsi="Arial" w:cs="Arial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</w:rPr>
              <w:t>Meta Contratual</w:t>
            </w:r>
          </w:p>
        </w:tc>
        <w:tc>
          <w:tcPr>
            <w:tcW w:w="2303" w:type="dxa"/>
          </w:tcPr>
          <w:p w:rsidR="00595709" w:rsidRDefault="00C14B4D">
            <w:pPr>
              <w:spacing w:line="360" w:lineRule="auto"/>
              <w:jc w:val="center"/>
              <w:cnfStyle w:val="100000000000"/>
              <w:rPr>
                <w:rFonts w:ascii="Arial" w:hAnsi="Arial" w:cs="Arial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</w:rPr>
              <w:t>Realizado 05/2019</w:t>
            </w:r>
          </w:p>
        </w:tc>
      </w:tr>
      <w:tr w:rsidR="00595709" w:rsidTr="00595709">
        <w:trPr>
          <w:jc w:val="center"/>
        </w:trPr>
        <w:tc>
          <w:tcPr>
            <w:cnfStyle w:val="001000000000"/>
            <w:tcW w:w="2302" w:type="dxa"/>
            <w:tcBorders>
              <w:left w:val="nil"/>
              <w:right w:val="nil"/>
            </w:tcBorders>
            <w:shd w:val="clear" w:color="auto" w:fill="E6EED5" w:themeFill="accent3" w:themeFillTint="3F"/>
            <w:vAlign w:val="center"/>
          </w:tcPr>
          <w:p w:rsidR="00595709" w:rsidRDefault="00C14B4D">
            <w:pPr>
              <w:spacing w:line="360" w:lineRule="auto"/>
              <w:jc w:val="center"/>
              <w:rPr>
                <w:rFonts w:ascii="Arial" w:hAnsi="Arial" w:cs="Arial"/>
                <w:bCs w:val="0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b w:val="0"/>
                <w:color w:val="auto"/>
                <w:sz w:val="24"/>
                <w:szCs w:val="24"/>
              </w:rPr>
              <w:t>Saídas Faturadas</w:t>
            </w:r>
          </w:p>
        </w:tc>
        <w:tc>
          <w:tcPr>
            <w:tcW w:w="2303" w:type="dxa"/>
            <w:tcBorders>
              <w:right w:val="nil"/>
            </w:tcBorders>
            <w:shd w:val="clear" w:color="auto" w:fill="E6EED5" w:themeFill="accent3" w:themeFillTint="3F"/>
            <w:vAlign w:val="center"/>
          </w:tcPr>
          <w:p w:rsidR="00595709" w:rsidRDefault="00C14B4D">
            <w:pPr>
              <w:spacing w:line="360" w:lineRule="auto"/>
              <w:jc w:val="center"/>
              <w:cnfStyle w:val="000000000000"/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</w:rPr>
              <w:t>200</w:t>
            </w:r>
          </w:p>
        </w:tc>
        <w:tc>
          <w:tcPr>
            <w:tcW w:w="2303" w:type="dxa"/>
            <w:tcBorders>
              <w:right w:val="nil"/>
            </w:tcBorders>
            <w:shd w:val="clear" w:color="auto" w:fill="E6EED5" w:themeFill="accent3" w:themeFillTint="3F"/>
            <w:vAlign w:val="center"/>
          </w:tcPr>
          <w:p w:rsidR="00595709" w:rsidRDefault="00C14B4D">
            <w:pPr>
              <w:spacing w:line="360" w:lineRule="auto"/>
              <w:jc w:val="center"/>
              <w:cnfStyle w:val="000000000000"/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</w:rPr>
              <w:t>328</w:t>
            </w:r>
          </w:p>
        </w:tc>
      </w:tr>
      <w:tr w:rsidR="00595709" w:rsidTr="00595709">
        <w:trPr>
          <w:jc w:val="center"/>
        </w:trPr>
        <w:tc>
          <w:tcPr>
            <w:cnfStyle w:val="001000000000"/>
            <w:tcW w:w="2302" w:type="dxa"/>
            <w:vAlign w:val="center"/>
          </w:tcPr>
          <w:p w:rsidR="00595709" w:rsidRDefault="00C14B4D">
            <w:pPr>
              <w:spacing w:line="360" w:lineRule="auto"/>
              <w:jc w:val="center"/>
              <w:rPr>
                <w:rFonts w:ascii="Arial" w:hAnsi="Arial" w:cs="Arial"/>
                <w:bCs w:val="0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b w:val="0"/>
                <w:color w:val="auto"/>
                <w:sz w:val="24"/>
                <w:szCs w:val="24"/>
              </w:rPr>
              <w:t>Urgência / Emergência</w:t>
            </w:r>
          </w:p>
        </w:tc>
        <w:tc>
          <w:tcPr>
            <w:tcW w:w="2303" w:type="dxa"/>
            <w:vAlign w:val="center"/>
          </w:tcPr>
          <w:p w:rsidR="00595709" w:rsidRDefault="00C14B4D">
            <w:pPr>
              <w:spacing w:line="360" w:lineRule="auto"/>
              <w:jc w:val="center"/>
              <w:cnfStyle w:val="000000000000"/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</w:rPr>
              <w:t>750</w:t>
            </w:r>
          </w:p>
        </w:tc>
        <w:tc>
          <w:tcPr>
            <w:tcW w:w="2303" w:type="dxa"/>
            <w:vAlign w:val="center"/>
          </w:tcPr>
          <w:p w:rsidR="00595709" w:rsidRDefault="00C14B4D">
            <w:pPr>
              <w:spacing w:line="360" w:lineRule="auto"/>
              <w:jc w:val="center"/>
              <w:cnfStyle w:val="000000000000"/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</w:rPr>
              <w:t>837</w:t>
            </w:r>
          </w:p>
        </w:tc>
      </w:tr>
      <w:tr w:rsidR="00595709" w:rsidTr="00595709">
        <w:trPr>
          <w:jc w:val="center"/>
        </w:trPr>
        <w:tc>
          <w:tcPr>
            <w:cnfStyle w:val="001000000000"/>
            <w:tcW w:w="2302" w:type="dxa"/>
            <w:tcBorders>
              <w:left w:val="nil"/>
              <w:right w:val="nil"/>
            </w:tcBorders>
            <w:shd w:val="clear" w:color="auto" w:fill="E6EED5" w:themeFill="accent3" w:themeFillTint="3F"/>
            <w:vAlign w:val="center"/>
          </w:tcPr>
          <w:p w:rsidR="00595709" w:rsidRDefault="00C14B4D">
            <w:pPr>
              <w:spacing w:line="360" w:lineRule="auto"/>
              <w:jc w:val="center"/>
              <w:rPr>
                <w:rFonts w:ascii="Arial" w:hAnsi="Arial" w:cs="Arial"/>
                <w:bCs w:val="0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b w:val="0"/>
                <w:color w:val="auto"/>
                <w:sz w:val="24"/>
                <w:szCs w:val="24"/>
              </w:rPr>
              <w:t>Hospital Dia</w:t>
            </w:r>
          </w:p>
        </w:tc>
        <w:tc>
          <w:tcPr>
            <w:tcW w:w="2303" w:type="dxa"/>
            <w:tcBorders>
              <w:right w:val="nil"/>
            </w:tcBorders>
            <w:shd w:val="clear" w:color="auto" w:fill="E6EED5" w:themeFill="accent3" w:themeFillTint="3F"/>
            <w:vAlign w:val="center"/>
          </w:tcPr>
          <w:p w:rsidR="00595709" w:rsidRDefault="00C14B4D">
            <w:pPr>
              <w:spacing w:line="360" w:lineRule="auto"/>
              <w:jc w:val="center"/>
              <w:cnfStyle w:val="000000000000"/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</w:rPr>
              <w:t>100</w:t>
            </w:r>
          </w:p>
        </w:tc>
        <w:tc>
          <w:tcPr>
            <w:tcW w:w="2303" w:type="dxa"/>
            <w:tcBorders>
              <w:right w:val="nil"/>
            </w:tcBorders>
            <w:shd w:val="clear" w:color="auto" w:fill="E6EED5" w:themeFill="accent3" w:themeFillTint="3F"/>
            <w:vAlign w:val="center"/>
          </w:tcPr>
          <w:p w:rsidR="00595709" w:rsidRDefault="00C14B4D">
            <w:pPr>
              <w:spacing w:line="360" w:lineRule="auto"/>
              <w:jc w:val="center"/>
              <w:cnfStyle w:val="000000000000"/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</w:rPr>
              <w:t>270</w:t>
            </w:r>
          </w:p>
        </w:tc>
      </w:tr>
      <w:tr w:rsidR="00595709" w:rsidTr="00595709">
        <w:trPr>
          <w:jc w:val="center"/>
        </w:trPr>
        <w:tc>
          <w:tcPr>
            <w:cnfStyle w:val="001000000000"/>
            <w:tcW w:w="2302" w:type="dxa"/>
            <w:vAlign w:val="center"/>
          </w:tcPr>
          <w:p w:rsidR="00595709" w:rsidRDefault="00C14B4D">
            <w:pPr>
              <w:spacing w:line="360" w:lineRule="auto"/>
              <w:jc w:val="center"/>
              <w:rPr>
                <w:rFonts w:ascii="Arial" w:hAnsi="Arial" w:cs="Arial"/>
                <w:bCs w:val="0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b w:val="0"/>
                <w:color w:val="auto"/>
                <w:sz w:val="24"/>
                <w:szCs w:val="24"/>
              </w:rPr>
              <w:t>Ambulatório</w:t>
            </w:r>
          </w:p>
        </w:tc>
        <w:tc>
          <w:tcPr>
            <w:tcW w:w="2303" w:type="dxa"/>
            <w:vAlign w:val="center"/>
          </w:tcPr>
          <w:p w:rsidR="00595709" w:rsidRDefault="00C14B4D">
            <w:pPr>
              <w:spacing w:line="360" w:lineRule="auto"/>
              <w:jc w:val="center"/>
              <w:cnfStyle w:val="000000000000"/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</w:rPr>
              <w:t>3.700</w:t>
            </w:r>
          </w:p>
        </w:tc>
        <w:tc>
          <w:tcPr>
            <w:tcW w:w="2303" w:type="dxa"/>
            <w:vAlign w:val="center"/>
          </w:tcPr>
          <w:p w:rsidR="00595709" w:rsidRDefault="00C14B4D">
            <w:pPr>
              <w:spacing w:line="360" w:lineRule="auto"/>
              <w:jc w:val="center"/>
              <w:cnfStyle w:val="000000000000"/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</w:rPr>
              <w:t>3.877</w:t>
            </w:r>
          </w:p>
        </w:tc>
      </w:tr>
    </w:tbl>
    <w:p w:rsidR="00595709" w:rsidRDefault="00C14B4D">
      <w:pPr>
        <w:jc w:val="right"/>
        <w:rPr>
          <w:i/>
          <w:sz w:val="18"/>
          <w:szCs w:val="18"/>
        </w:rPr>
      </w:pPr>
      <w:r>
        <w:rPr>
          <w:i/>
          <w:sz w:val="18"/>
          <w:szCs w:val="18"/>
        </w:rPr>
        <w:t>Fonte: Relatório Institucional – RIH</w:t>
      </w:r>
    </w:p>
    <w:p w:rsidR="00595709" w:rsidRDefault="00595709">
      <w:pPr>
        <w:jc w:val="right"/>
        <w:rPr>
          <w:i/>
          <w:sz w:val="18"/>
          <w:szCs w:val="18"/>
        </w:rPr>
      </w:pPr>
    </w:p>
    <w:p w:rsidR="00595709" w:rsidRDefault="00C14B4D">
      <w:pPr>
        <w:spacing w:after="0" w:line="360" w:lineRule="auto"/>
        <w:ind w:left="360"/>
        <w:rPr>
          <w:rFonts w:ascii="Arial" w:hAnsi="Arial" w:cs="Arial"/>
          <w:color w:val="002060"/>
          <w:sz w:val="36"/>
          <w:szCs w:val="36"/>
        </w:rPr>
      </w:pPr>
      <w:r>
        <w:rPr>
          <w:rFonts w:ascii="Arial" w:hAnsi="Arial" w:cs="Arial"/>
          <w:noProof/>
          <w:color w:val="002060"/>
          <w:sz w:val="36"/>
          <w:szCs w:val="36"/>
          <w:lang w:eastAsia="pt-BR"/>
        </w:rPr>
        <w:drawing>
          <wp:inline distT="0" distB="0" distL="0" distR="0">
            <wp:extent cx="5514975" cy="2533650"/>
            <wp:effectExtent l="4445" t="4445" r="5080" b="14605"/>
            <wp:docPr id="37" name="Gráfico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595709" w:rsidRDefault="00C14B4D">
      <w:pPr>
        <w:jc w:val="right"/>
        <w:rPr>
          <w:i/>
          <w:sz w:val="18"/>
          <w:szCs w:val="18"/>
        </w:rPr>
      </w:pPr>
      <w:r>
        <w:rPr>
          <w:i/>
          <w:sz w:val="18"/>
          <w:szCs w:val="18"/>
        </w:rPr>
        <w:t>Fonte: Relatório Institucional – RIH</w:t>
      </w:r>
    </w:p>
    <w:p w:rsidR="00595709" w:rsidRDefault="00595709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595709" w:rsidRDefault="00C14B4D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ANÁLISE CRÍTICA DOS RESULTADOS ALCANÇADOS</w:t>
      </w:r>
    </w:p>
    <w:p w:rsidR="00595709" w:rsidRDefault="00595709">
      <w:pPr>
        <w:spacing w:after="0" w:line="360" w:lineRule="auto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595709" w:rsidRDefault="00C14B4D">
      <w:pPr>
        <w:spacing w:after="0" w:line="360" w:lineRule="auto"/>
        <w:rPr>
          <w:rFonts w:ascii="Arial" w:hAnsi="Arial" w:cs="Arial"/>
          <w:b/>
          <w:color w:val="002060"/>
          <w:sz w:val="24"/>
          <w:szCs w:val="24"/>
        </w:rPr>
      </w:pPr>
      <w:r>
        <w:rPr>
          <w:rFonts w:ascii="Arial" w:hAnsi="Arial" w:cs="Arial"/>
          <w:b/>
          <w:color w:val="002060"/>
          <w:sz w:val="24"/>
          <w:szCs w:val="24"/>
        </w:rPr>
        <w:t>Saídas Faturadas</w:t>
      </w:r>
    </w:p>
    <w:p w:rsidR="00595709" w:rsidRDefault="00595709">
      <w:pPr>
        <w:spacing w:after="0" w:line="360" w:lineRule="auto"/>
        <w:rPr>
          <w:rFonts w:ascii="Arial" w:hAnsi="Arial" w:cs="Arial"/>
          <w:color w:val="002060"/>
          <w:sz w:val="24"/>
          <w:szCs w:val="24"/>
        </w:rPr>
      </w:pPr>
    </w:p>
    <w:p w:rsidR="00595709" w:rsidRDefault="00C14B4D">
      <w:pPr>
        <w:spacing w:after="0" w:line="36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As saídas hospitalares conforme contrato de gestão Nº 091/2012 – ISG/SES – GO, são mensuradas através da apresentação das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AIH’s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emitidas pelo gestor em cada mês. </w:t>
      </w:r>
    </w:p>
    <w:p w:rsidR="00595709" w:rsidRDefault="00C14B4D">
      <w:pPr>
        <w:spacing w:after="0" w:line="360" w:lineRule="auto"/>
        <w:rPr>
          <w:rFonts w:ascii="Arial" w:hAnsi="Arial" w:cs="Arial"/>
          <w:b/>
          <w:color w:val="002060"/>
          <w:sz w:val="24"/>
          <w:szCs w:val="24"/>
        </w:rPr>
      </w:pPr>
      <w:r>
        <w:rPr>
          <w:rFonts w:ascii="Arial" w:hAnsi="Arial" w:cs="Arial"/>
          <w:b/>
          <w:color w:val="002060"/>
          <w:sz w:val="24"/>
          <w:szCs w:val="24"/>
        </w:rPr>
        <w:lastRenderedPageBreak/>
        <w:t>Atendimento de Urgência e Emergência</w:t>
      </w:r>
    </w:p>
    <w:p w:rsidR="00595709" w:rsidRDefault="00595709">
      <w:pPr>
        <w:pStyle w:val="PargrafodaLista"/>
        <w:spacing w:after="0" w:line="360" w:lineRule="auto"/>
        <w:rPr>
          <w:rFonts w:ascii="Arial" w:hAnsi="Arial" w:cs="Arial"/>
          <w:color w:val="002060"/>
          <w:sz w:val="24"/>
          <w:szCs w:val="24"/>
        </w:rPr>
      </w:pPr>
    </w:p>
    <w:p w:rsidR="00595709" w:rsidRDefault="00C14B4D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equipe está trabalhando para melhor adesão dos protocolos clínicos da unidade, redimensionamentos, objetivando melhorar o giro de leitos das unidades de internação para que a emergência possa ter vaga para atender mais pacientes.</w:t>
      </w:r>
    </w:p>
    <w:p w:rsidR="00595709" w:rsidRDefault="00595709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595709" w:rsidRDefault="00C14B4D">
      <w:pPr>
        <w:spacing w:after="0" w:line="360" w:lineRule="auto"/>
        <w:rPr>
          <w:rFonts w:ascii="Arial" w:hAnsi="Arial" w:cs="Arial"/>
          <w:b/>
          <w:color w:val="002060"/>
          <w:sz w:val="24"/>
          <w:szCs w:val="24"/>
        </w:rPr>
      </w:pPr>
      <w:r>
        <w:rPr>
          <w:rFonts w:ascii="Arial" w:hAnsi="Arial" w:cs="Arial"/>
          <w:b/>
          <w:color w:val="002060"/>
          <w:sz w:val="24"/>
          <w:szCs w:val="24"/>
        </w:rPr>
        <w:t>Hospital Dia</w:t>
      </w:r>
    </w:p>
    <w:p w:rsidR="00595709" w:rsidRDefault="00595709">
      <w:pPr>
        <w:pStyle w:val="PargrafodaLista"/>
        <w:spacing w:after="0" w:line="360" w:lineRule="auto"/>
        <w:rPr>
          <w:rFonts w:ascii="Arial" w:hAnsi="Arial" w:cs="Arial"/>
          <w:color w:val="002060"/>
          <w:sz w:val="24"/>
          <w:szCs w:val="24"/>
        </w:rPr>
      </w:pPr>
    </w:p>
    <w:p w:rsidR="00595709" w:rsidRDefault="00C14B4D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 Hospital Dia estamos sempre acima da Meta contratada. É um setor destinado a pacientes que necessitam de administrar medicações endovenosas, porém sem a obrigatoriedade de uma internação hospitalar.</w:t>
      </w:r>
    </w:p>
    <w:p w:rsidR="00595709" w:rsidRDefault="00595709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595709" w:rsidRDefault="00C14B4D">
      <w:pPr>
        <w:spacing w:after="0" w:line="360" w:lineRule="auto"/>
        <w:rPr>
          <w:rFonts w:ascii="Arial" w:hAnsi="Arial" w:cs="Arial"/>
          <w:b/>
          <w:color w:val="002060"/>
          <w:sz w:val="24"/>
          <w:szCs w:val="24"/>
        </w:rPr>
      </w:pPr>
      <w:r>
        <w:rPr>
          <w:rFonts w:ascii="Arial" w:hAnsi="Arial" w:cs="Arial"/>
          <w:b/>
          <w:color w:val="002060"/>
          <w:sz w:val="24"/>
          <w:szCs w:val="24"/>
        </w:rPr>
        <w:t>Atendimento Ambulatorial</w:t>
      </w:r>
    </w:p>
    <w:p w:rsidR="00595709" w:rsidRDefault="00595709">
      <w:pPr>
        <w:pStyle w:val="PargrafodaLista"/>
        <w:spacing w:after="0" w:line="360" w:lineRule="auto"/>
        <w:rPr>
          <w:rFonts w:ascii="Arial" w:hAnsi="Arial" w:cs="Arial"/>
          <w:color w:val="002060"/>
          <w:sz w:val="24"/>
          <w:szCs w:val="24"/>
        </w:rPr>
      </w:pPr>
    </w:p>
    <w:p w:rsidR="00595709" w:rsidRDefault="00C14B4D">
      <w:pPr>
        <w:spacing w:after="0" w:line="360" w:lineRule="auto"/>
        <w:ind w:firstLine="56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 período analisado no Ambulatório temos as consultas médicas e </w:t>
      </w:r>
      <w:proofErr w:type="gramStart"/>
      <w:r>
        <w:rPr>
          <w:rFonts w:ascii="Arial" w:hAnsi="Arial" w:cs="Arial"/>
          <w:sz w:val="24"/>
          <w:szCs w:val="24"/>
        </w:rPr>
        <w:t>as não</w:t>
      </w:r>
      <w:proofErr w:type="gramEnd"/>
      <w:r>
        <w:rPr>
          <w:rFonts w:ascii="Arial" w:hAnsi="Arial" w:cs="Arial"/>
          <w:sz w:val="24"/>
          <w:szCs w:val="24"/>
        </w:rPr>
        <w:t xml:space="preserve"> médicas (adesão – psicologia e farmácia clínica). </w:t>
      </w:r>
    </w:p>
    <w:p w:rsidR="00595709" w:rsidRDefault="00C14B4D">
      <w:pPr>
        <w:spacing w:after="0" w:line="360" w:lineRule="auto"/>
        <w:ind w:firstLine="56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Importante resaltar o quantitativo de absenteísmos dos pacientes que não vem na consulta agendada e agenda disponibilizada ao município e que por vezes não tem ocupação em sua totalidade</w:t>
      </w:r>
    </w:p>
    <w:p w:rsidR="00595709" w:rsidRDefault="00C14B4D">
      <w:pPr>
        <w:spacing w:after="0" w:line="360" w:lineRule="auto"/>
        <w:ind w:firstLine="56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 HDT vem promovendo ações na tentativa de garantir a adesão aos pacientes agendados, para que reduza o índice de pacientes faltosos, e parcerias estão sendo trabalhadas para facilitar o acesso do paciente ao ambulatório.</w:t>
      </w:r>
    </w:p>
    <w:p w:rsidR="00595709" w:rsidRDefault="00595709">
      <w:pPr>
        <w:spacing w:after="0" w:line="360" w:lineRule="auto"/>
        <w:ind w:firstLine="568"/>
        <w:jc w:val="both"/>
        <w:rPr>
          <w:rFonts w:ascii="Arial" w:hAnsi="Arial" w:cs="Arial"/>
          <w:sz w:val="24"/>
          <w:szCs w:val="24"/>
        </w:rPr>
      </w:pPr>
    </w:p>
    <w:p w:rsidR="00595709" w:rsidRDefault="00C14B4D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INDICADORES DA PARTE VARIÁVEL DO CONTRATO</w:t>
      </w:r>
    </w:p>
    <w:p w:rsidR="00595709" w:rsidRDefault="00595709">
      <w:pPr>
        <w:spacing w:after="0" w:line="360" w:lineRule="auto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595709" w:rsidRDefault="00C14B4D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Os indicadores estão relacionados à qualidade da assistência oferecida aos usuários da unidade gerenciada e medem aspectos relacionados à efetividade da gestão e ao desempenho da unidade. A complexidade dos indicadores é crescente e gradual, considerando o tempo de funcionamento da unidade.</w:t>
      </w:r>
    </w:p>
    <w:p w:rsidR="00595709" w:rsidRDefault="00C14B4D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Estabelecem-se como indicadores determinantes do repasse da parte variável:</w:t>
      </w:r>
    </w:p>
    <w:p w:rsidR="00595709" w:rsidRDefault="00C14B4D">
      <w:pPr>
        <w:pStyle w:val="PargrafodaLista"/>
        <w:numPr>
          <w:ilvl w:val="0"/>
          <w:numId w:val="6"/>
        </w:numPr>
        <w:spacing w:after="0" w:line="360" w:lineRule="auto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Taxa</w:t>
      </w:r>
      <w:proofErr w:type="gramEnd"/>
      <w:r>
        <w:rPr>
          <w:rFonts w:ascii="Arial" w:hAnsi="Arial" w:cs="Arial"/>
          <w:sz w:val="24"/>
          <w:szCs w:val="24"/>
        </w:rPr>
        <w:t xml:space="preserve"> de Ocupação Hospitalar ≥ 85%;</w:t>
      </w:r>
    </w:p>
    <w:p w:rsidR="00595709" w:rsidRDefault="00C14B4D">
      <w:pPr>
        <w:pStyle w:val="PargrafodaLista"/>
        <w:numPr>
          <w:ilvl w:val="0"/>
          <w:numId w:val="6"/>
        </w:num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Média de Permanência Hospitalar ≤ 10 dias;</w:t>
      </w:r>
    </w:p>
    <w:p w:rsidR="00595709" w:rsidRDefault="00C14B4D">
      <w:pPr>
        <w:pStyle w:val="PargrafodaLista"/>
        <w:numPr>
          <w:ilvl w:val="0"/>
          <w:numId w:val="6"/>
        </w:num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Índice de Intervalo de Substituição de leitos ≤ 43%;</w:t>
      </w:r>
    </w:p>
    <w:p w:rsidR="00595709" w:rsidRDefault="00C14B4D">
      <w:pPr>
        <w:pStyle w:val="PargrafodaLista"/>
        <w:numPr>
          <w:ilvl w:val="0"/>
          <w:numId w:val="6"/>
        </w:num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Percentual de ocorrência de Rejeição no SIH ≤ 1%;</w:t>
      </w:r>
    </w:p>
    <w:p w:rsidR="00595709" w:rsidRDefault="00C14B4D">
      <w:pPr>
        <w:pStyle w:val="PargrafodaLista"/>
        <w:numPr>
          <w:ilvl w:val="0"/>
          <w:numId w:val="6"/>
        </w:numPr>
        <w:spacing w:after="0" w:line="36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Farmacovigilância</w:t>
      </w:r>
      <w:proofErr w:type="spellEnd"/>
      <w:r>
        <w:rPr>
          <w:rFonts w:ascii="Arial" w:hAnsi="Arial" w:cs="Arial"/>
          <w:sz w:val="24"/>
          <w:szCs w:val="24"/>
        </w:rPr>
        <w:t>: Avaliação dos pacientes com relação ao uso racional de medicamentos ≥ 80%;</w:t>
      </w:r>
    </w:p>
    <w:p w:rsidR="00595709" w:rsidRDefault="00C14B4D">
      <w:pPr>
        <w:pStyle w:val="PargrafodaLista"/>
        <w:numPr>
          <w:ilvl w:val="0"/>
          <w:numId w:val="6"/>
        </w:numPr>
        <w:spacing w:after="0" w:line="36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Famacovigilância</w:t>
      </w:r>
      <w:proofErr w:type="spellEnd"/>
      <w:r>
        <w:rPr>
          <w:rFonts w:ascii="Arial" w:hAnsi="Arial" w:cs="Arial"/>
          <w:sz w:val="24"/>
          <w:szCs w:val="24"/>
        </w:rPr>
        <w:t xml:space="preserve">: Avaliação de reações adversas a medicamentos RAM quanto </w:t>
      </w:r>
      <w:proofErr w:type="gramStart"/>
      <w:r>
        <w:rPr>
          <w:rFonts w:ascii="Arial" w:hAnsi="Arial" w:cs="Arial"/>
          <w:sz w:val="24"/>
          <w:szCs w:val="24"/>
        </w:rPr>
        <w:t>a</w:t>
      </w:r>
      <w:proofErr w:type="gramEnd"/>
      <w:r>
        <w:rPr>
          <w:rFonts w:ascii="Arial" w:hAnsi="Arial" w:cs="Arial"/>
          <w:sz w:val="24"/>
          <w:szCs w:val="24"/>
        </w:rPr>
        <w:t xml:space="preserve"> gravidade ≥ 70%.</w:t>
      </w:r>
    </w:p>
    <w:p w:rsidR="00595709" w:rsidRDefault="00595709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595709" w:rsidRDefault="00C14B4D">
      <w:pPr>
        <w:spacing w:after="0" w:line="360" w:lineRule="auto"/>
        <w:rPr>
          <w:rFonts w:ascii="Arial" w:hAnsi="Arial" w:cs="Arial"/>
          <w:b/>
          <w:color w:val="1F497D" w:themeColor="text2"/>
          <w:sz w:val="24"/>
          <w:szCs w:val="24"/>
        </w:rPr>
      </w:pPr>
      <w:proofErr w:type="gramStart"/>
      <w:r>
        <w:rPr>
          <w:rFonts w:ascii="Arial" w:hAnsi="Arial" w:cs="Arial"/>
          <w:b/>
          <w:color w:val="1F497D" w:themeColor="text2"/>
          <w:sz w:val="24"/>
          <w:szCs w:val="24"/>
        </w:rPr>
        <w:t>Taxa</w:t>
      </w:r>
      <w:proofErr w:type="gramEnd"/>
      <w:r>
        <w:rPr>
          <w:rFonts w:ascii="Arial" w:hAnsi="Arial" w:cs="Arial"/>
          <w:b/>
          <w:color w:val="1F497D" w:themeColor="text2"/>
          <w:sz w:val="24"/>
          <w:szCs w:val="24"/>
        </w:rPr>
        <w:t xml:space="preserve"> de Ocupação Hospitalar ≥ 85%</w:t>
      </w:r>
    </w:p>
    <w:p w:rsidR="00595709" w:rsidRDefault="00595709">
      <w:pPr>
        <w:spacing w:after="0" w:line="360" w:lineRule="auto"/>
        <w:rPr>
          <w:rFonts w:ascii="Arial" w:hAnsi="Arial" w:cs="Arial"/>
          <w:b/>
          <w:color w:val="1F497D" w:themeColor="text2"/>
          <w:sz w:val="24"/>
          <w:szCs w:val="24"/>
        </w:rPr>
      </w:pPr>
    </w:p>
    <w:p w:rsidR="00595709" w:rsidRDefault="00C14B4D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Taxa de Ocupação Hospitalar avalia o grau de utilização dos leitos operacionais no hospital como um todo. Mensura o perfil de utilização e gestão do leito operacional no hospital. A gestão eficiente do leito operacional aumenta a oferta de leitos para o sistema de saúde. </w:t>
      </w:r>
    </w:p>
    <w:p w:rsidR="00595709" w:rsidRDefault="00C14B4D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 leito hospitalar deverá ser gerenciado como um recurso caro e complexo, devendo ser utilizado de forma racional e com a indicação mais apropriada de forma a estar disponível para os indivíduos que necessitem deste recurso para recuperação da saúde. </w:t>
      </w:r>
    </w:p>
    <w:p w:rsidR="00595709" w:rsidRDefault="00595709">
      <w:pPr>
        <w:spacing w:after="0" w:line="360" w:lineRule="auto"/>
        <w:ind w:firstLine="360"/>
        <w:jc w:val="both"/>
        <w:rPr>
          <w:rFonts w:ascii="Arial" w:hAnsi="Arial" w:cs="Arial"/>
          <w:sz w:val="24"/>
          <w:szCs w:val="24"/>
        </w:rPr>
      </w:pPr>
    </w:p>
    <w:p w:rsidR="00595709" w:rsidRDefault="00595709">
      <w:pPr>
        <w:spacing w:after="0" w:line="360" w:lineRule="auto"/>
        <w:ind w:firstLine="360"/>
        <w:jc w:val="both"/>
        <w:rPr>
          <w:rFonts w:ascii="Arial" w:hAnsi="Arial" w:cs="Arial"/>
          <w:sz w:val="24"/>
          <w:szCs w:val="24"/>
        </w:rPr>
      </w:pPr>
    </w:p>
    <w:p w:rsidR="00595709" w:rsidRDefault="00C14B4D">
      <w:pPr>
        <w:spacing w:after="0" w:line="360" w:lineRule="auto"/>
        <w:ind w:firstLine="360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Fórmula:</w:t>
      </w:r>
      <w:proofErr w:type="gramStart"/>
      <w:r>
        <w:rPr>
          <w:rFonts w:ascii="Arial" w:hAnsi="Arial" w:cs="Arial"/>
          <w:sz w:val="24"/>
          <w:szCs w:val="24"/>
        </w:rPr>
        <w:t xml:space="preserve">  </w:t>
      </w:r>
      <w:proofErr w:type="gramEnd"/>
      <w:r>
        <w:rPr>
          <w:rFonts w:ascii="Arial" w:hAnsi="Arial" w:cs="Arial"/>
          <w:i/>
          <w:sz w:val="24"/>
          <w:szCs w:val="24"/>
        </w:rPr>
        <w:t>____</w:t>
      </w:r>
      <w:r>
        <w:rPr>
          <w:rFonts w:ascii="Arial" w:hAnsi="Arial" w:cs="Arial"/>
          <w:i/>
          <w:sz w:val="24"/>
          <w:szCs w:val="24"/>
          <w:u w:val="single"/>
        </w:rPr>
        <w:t xml:space="preserve">Total de Paciente-dia no período_____  </w:t>
      </w:r>
      <w:r>
        <w:rPr>
          <w:rFonts w:ascii="Arial" w:hAnsi="Arial" w:cs="Arial"/>
          <w:i/>
          <w:sz w:val="24"/>
          <w:szCs w:val="24"/>
        </w:rPr>
        <w:t xml:space="preserve">X 100 </w:t>
      </w:r>
    </w:p>
    <w:p w:rsidR="00595709" w:rsidRDefault="00C14B4D">
      <w:pPr>
        <w:spacing w:after="0" w:line="360" w:lineRule="auto"/>
        <w:ind w:firstLine="360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 xml:space="preserve">                   Total de Leitos Operacionais – dia período</w:t>
      </w:r>
    </w:p>
    <w:p w:rsidR="00595709" w:rsidRDefault="00595709">
      <w:pPr>
        <w:spacing w:after="0" w:line="360" w:lineRule="auto"/>
        <w:ind w:firstLine="360"/>
        <w:jc w:val="both"/>
        <w:rPr>
          <w:rFonts w:ascii="Arial" w:hAnsi="Arial" w:cs="Arial"/>
          <w:i/>
          <w:sz w:val="24"/>
          <w:szCs w:val="24"/>
        </w:rPr>
      </w:pPr>
    </w:p>
    <w:p w:rsidR="00595709" w:rsidRDefault="00C14B4D">
      <w:pPr>
        <w:spacing w:after="0" w:line="360" w:lineRule="auto"/>
        <w:ind w:firstLine="360"/>
        <w:jc w:val="center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noProof/>
          <w:sz w:val="24"/>
          <w:szCs w:val="24"/>
          <w:lang w:eastAsia="pt-BR"/>
        </w:rPr>
        <w:drawing>
          <wp:inline distT="0" distB="0" distL="0" distR="0">
            <wp:extent cx="4314825" cy="1847850"/>
            <wp:effectExtent l="19050" t="0" r="9525" b="0"/>
            <wp:docPr id="38" name="Gráfico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595709" w:rsidRDefault="00C14B4D">
      <w:pPr>
        <w:jc w:val="right"/>
        <w:rPr>
          <w:i/>
          <w:sz w:val="18"/>
          <w:szCs w:val="18"/>
        </w:rPr>
      </w:pPr>
      <w:r>
        <w:rPr>
          <w:i/>
          <w:sz w:val="18"/>
          <w:szCs w:val="18"/>
        </w:rPr>
        <w:t>Fonte: Relatório Institucional – RIH</w:t>
      </w:r>
    </w:p>
    <w:p w:rsidR="00595709" w:rsidRDefault="0059570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595709" w:rsidRDefault="00C14B4D">
      <w:pPr>
        <w:spacing w:after="0" w:line="360" w:lineRule="auto"/>
        <w:jc w:val="both"/>
        <w:rPr>
          <w:rFonts w:ascii="Arial" w:hAnsi="Arial" w:cs="Arial"/>
          <w:b/>
          <w:color w:val="1F497D" w:themeColor="text2"/>
          <w:sz w:val="24"/>
          <w:szCs w:val="24"/>
        </w:rPr>
      </w:pPr>
      <w:r>
        <w:rPr>
          <w:rFonts w:ascii="Arial" w:hAnsi="Arial" w:cs="Arial"/>
          <w:b/>
          <w:color w:val="1F497D" w:themeColor="text2"/>
          <w:sz w:val="24"/>
          <w:szCs w:val="24"/>
        </w:rPr>
        <w:t>Média de Permanência Hospitalar ≤ 10 dias</w:t>
      </w:r>
    </w:p>
    <w:p w:rsidR="00595709" w:rsidRDefault="00595709">
      <w:pPr>
        <w:spacing w:after="0" w:line="360" w:lineRule="auto"/>
        <w:jc w:val="both"/>
        <w:rPr>
          <w:rFonts w:ascii="Arial" w:hAnsi="Arial" w:cs="Arial"/>
          <w:i/>
          <w:color w:val="1F497D" w:themeColor="text2"/>
          <w:sz w:val="24"/>
          <w:szCs w:val="24"/>
        </w:rPr>
      </w:pPr>
    </w:p>
    <w:p w:rsidR="00595709" w:rsidRDefault="00C14B4D">
      <w:pPr>
        <w:spacing w:after="0" w:line="360" w:lineRule="auto"/>
        <w:ind w:firstLine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Representa o tempo médio em dias que os pacientes permanecem internados no hospital. Está relacionado a boas práticas clínicas, é um indicador clássico de desempenho hospitalar e está relacionado </w:t>
      </w:r>
      <w:proofErr w:type="gramStart"/>
      <w:r>
        <w:rPr>
          <w:rFonts w:ascii="Arial" w:hAnsi="Arial" w:cs="Arial"/>
          <w:sz w:val="24"/>
          <w:szCs w:val="24"/>
        </w:rPr>
        <w:t>a</w:t>
      </w:r>
      <w:proofErr w:type="gramEnd"/>
      <w:r>
        <w:rPr>
          <w:rFonts w:ascii="Arial" w:hAnsi="Arial" w:cs="Arial"/>
          <w:sz w:val="24"/>
          <w:szCs w:val="24"/>
        </w:rPr>
        <w:t xml:space="preserve"> gestão eficiente do leito operacional.</w:t>
      </w:r>
    </w:p>
    <w:p w:rsidR="00595709" w:rsidRDefault="00595709">
      <w:pPr>
        <w:spacing w:after="0" w:line="360" w:lineRule="auto"/>
        <w:ind w:firstLine="360"/>
        <w:jc w:val="both"/>
        <w:rPr>
          <w:rFonts w:ascii="Arial" w:hAnsi="Arial" w:cs="Arial"/>
          <w:sz w:val="24"/>
          <w:szCs w:val="24"/>
        </w:rPr>
      </w:pPr>
    </w:p>
    <w:p w:rsidR="00595709" w:rsidRDefault="00C14B4D">
      <w:pPr>
        <w:spacing w:after="0" w:line="360" w:lineRule="auto"/>
        <w:ind w:firstLine="360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Fórmula:       </w:t>
      </w:r>
      <w:r>
        <w:rPr>
          <w:rFonts w:ascii="Arial" w:hAnsi="Arial" w:cs="Arial"/>
          <w:i/>
          <w:sz w:val="24"/>
          <w:szCs w:val="24"/>
        </w:rPr>
        <w:t>__</w:t>
      </w:r>
      <w:r>
        <w:rPr>
          <w:rFonts w:ascii="Arial" w:hAnsi="Arial" w:cs="Arial"/>
          <w:i/>
          <w:sz w:val="24"/>
          <w:szCs w:val="24"/>
          <w:u w:val="single"/>
        </w:rPr>
        <w:t>Total de paciente – dia no período__</w:t>
      </w:r>
      <w:proofErr w:type="gramStart"/>
      <w:r>
        <w:rPr>
          <w:rFonts w:ascii="Arial" w:hAnsi="Arial" w:cs="Arial"/>
          <w:i/>
          <w:sz w:val="24"/>
          <w:szCs w:val="24"/>
          <w:u w:val="single"/>
        </w:rPr>
        <w:t xml:space="preserve">  </w:t>
      </w:r>
    </w:p>
    <w:p w:rsidR="00595709" w:rsidRDefault="00C14B4D">
      <w:pPr>
        <w:spacing w:after="0" w:line="360" w:lineRule="auto"/>
        <w:ind w:firstLine="360"/>
        <w:jc w:val="both"/>
        <w:rPr>
          <w:rFonts w:ascii="Arial" w:hAnsi="Arial" w:cs="Arial"/>
          <w:i/>
          <w:sz w:val="24"/>
          <w:szCs w:val="24"/>
        </w:rPr>
      </w:pPr>
      <w:proofErr w:type="gramEnd"/>
      <w:r>
        <w:rPr>
          <w:rFonts w:ascii="Arial" w:hAnsi="Arial" w:cs="Arial"/>
          <w:i/>
          <w:sz w:val="24"/>
          <w:szCs w:val="24"/>
        </w:rPr>
        <w:tab/>
      </w:r>
      <w:r>
        <w:rPr>
          <w:rFonts w:ascii="Arial" w:hAnsi="Arial" w:cs="Arial"/>
          <w:i/>
          <w:sz w:val="24"/>
          <w:szCs w:val="24"/>
        </w:rPr>
        <w:tab/>
        <w:t xml:space="preserve">              Total de saídas no período</w:t>
      </w:r>
    </w:p>
    <w:p w:rsidR="00595709" w:rsidRDefault="00595709">
      <w:pPr>
        <w:spacing w:after="0" w:line="360" w:lineRule="auto"/>
        <w:ind w:firstLine="360"/>
        <w:jc w:val="both"/>
        <w:rPr>
          <w:rFonts w:ascii="Arial" w:hAnsi="Arial" w:cs="Arial"/>
          <w:i/>
          <w:sz w:val="24"/>
          <w:szCs w:val="24"/>
        </w:rPr>
      </w:pPr>
    </w:p>
    <w:p w:rsidR="00595709" w:rsidRDefault="00C14B4D">
      <w:pPr>
        <w:spacing w:after="0" w:line="360" w:lineRule="auto"/>
        <w:ind w:firstLine="360"/>
        <w:jc w:val="center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noProof/>
          <w:sz w:val="24"/>
          <w:szCs w:val="24"/>
          <w:lang w:eastAsia="pt-BR"/>
        </w:rPr>
        <w:drawing>
          <wp:inline distT="0" distB="0" distL="0" distR="0">
            <wp:extent cx="4314825" cy="1847850"/>
            <wp:effectExtent l="19050" t="0" r="9525" b="0"/>
            <wp:docPr id="40" name="Gráfico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595709" w:rsidRDefault="00C14B4D">
      <w:pPr>
        <w:jc w:val="right"/>
        <w:rPr>
          <w:i/>
          <w:sz w:val="18"/>
          <w:szCs w:val="18"/>
        </w:rPr>
      </w:pPr>
      <w:r>
        <w:rPr>
          <w:i/>
          <w:sz w:val="18"/>
          <w:szCs w:val="18"/>
        </w:rPr>
        <w:t>Fonte: Relatório Institucional – RIH</w:t>
      </w:r>
    </w:p>
    <w:p w:rsidR="00595709" w:rsidRDefault="00595709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</w:p>
    <w:p w:rsidR="00595709" w:rsidRDefault="00595709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595709" w:rsidRDefault="00C14B4D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 gerenciamento de protocolos clínicos pode contribuir para facilitar a gestão da média de permanência hospitalar para as patologias de maior relevância no hospital. </w:t>
      </w:r>
    </w:p>
    <w:p w:rsidR="00595709" w:rsidRDefault="00595709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595709" w:rsidRDefault="00C14B4D">
      <w:pPr>
        <w:spacing w:after="0" w:line="360" w:lineRule="auto"/>
        <w:rPr>
          <w:rFonts w:ascii="Arial" w:hAnsi="Arial" w:cs="Arial"/>
          <w:b/>
          <w:color w:val="1F497D" w:themeColor="text2"/>
          <w:sz w:val="24"/>
          <w:szCs w:val="24"/>
        </w:rPr>
      </w:pPr>
      <w:r>
        <w:rPr>
          <w:rFonts w:ascii="Arial" w:hAnsi="Arial" w:cs="Arial"/>
          <w:b/>
          <w:color w:val="1F497D" w:themeColor="text2"/>
          <w:sz w:val="24"/>
          <w:szCs w:val="24"/>
        </w:rPr>
        <w:t>Índice de Intervalo de Substituição de leitos ≤ 43%</w:t>
      </w:r>
    </w:p>
    <w:p w:rsidR="00595709" w:rsidRDefault="00595709">
      <w:pPr>
        <w:spacing w:after="0" w:line="360" w:lineRule="auto"/>
        <w:rPr>
          <w:rFonts w:ascii="Arial" w:hAnsi="Arial" w:cs="Arial"/>
          <w:b/>
          <w:color w:val="1F497D" w:themeColor="text2"/>
          <w:sz w:val="24"/>
          <w:szCs w:val="24"/>
        </w:rPr>
      </w:pPr>
    </w:p>
    <w:p w:rsidR="00595709" w:rsidRDefault="00C14B4D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rFonts w:ascii="Arial" w:hAnsi="Arial" w:cs="Arial"/>
          <w:sz w:val="24"/>
          <w:szCs w:val="24"/>
          <w:shd w:val="clear" w:color="auto" w:fill="FFFFFF"/>
        </w:rPr>
        <w:t>Mostra o tempo médio em que um leito permanece desocupado entre a saída de um paciente e a admissão de outro. Esta medida relaciona a taxa de ocupação com a média de permanência.</w:t>
      </w:r>
    </w:p>
    <w:p w:rsidR="00595709" w:rsidRDefault="00595709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:rsidR="00595709" w:rsidRDefault="00C14B4D">
      <w:pPr>
        <w:shd w:val="clear" w:color="auto" w:fill="FFFFFF"/>
        <w:spacing w:after="0" w:line="360" w:lineRule="auto"/>
        <w:rPr>
          <w:rFonts w:ascii="Arial" w:eastAsia="Times New Roman" w:hAnsi="Arial" w:cs="Arial"/>
          <w:i/>
          <w:lang w:eastAsia="pt-BR"/>
        </w:rPr>
      </w:pPr>
      <w:r>
        <w:rPr>
          <w:rFonts w:ascii="Arial" w:hAnsi="Arial" w:cs="Arial"/>
          <w:sz w:val="24"/>
          <w:szCs w:val="24"/>
          <w:shd w:val="clear" w:color="auto" w:fill="FFFFFF"/>
        </w:rPr>
        <w:t>Fórmula:</w:t>
      </w:r>
      <w:proofErr w:type="gramStart"/>
      <w:r>
        <w:rPr>
          <w:rFonts w:ascii="Arial" w:hAnsi="Arial" w:cs="Arial"/>
          <w:sz w:val="24"/>
          <w:szCs w:val="24"/>
          <w:shd w:val="clear" w:color="auto" w:fill="FFFFFF"/>
        </w:rPr>
        <w:t xml:space="preserve">   </w:t>
      </w:r>
      <w:proofErr w:type="gramEnd"/>
      <w:r>
        <w:rPr>
          <w:rFonts w:ascii="Arial" w:eastAsia="Times New Roman" w:hAnsi="Arial" w:cs="Arial"/>
          <w:i/>
          <w:u w:val="single"/>
          <w:lang w:eastAsia="pt-BR"/>
        </w:rPr>
        <w:t xml:space="preserve">(1-Taxa de </w:t>
      </w:r>
      <w:proofErr w:type="spellStart"/>
      <w:r>
        <w:rPr>
          <w:rFonts w:ascii="Arial" w:eastAsia="Times New Roman" w:hAnsi="Arial" w:cs="Arial"/>
          <w:i/>
          <w:u w:val="single"/>
          <w:lang w:eastAsia="pt-BR"/>
        </w:rPr>
        <w:t>ocupaçã</w:t>
      </w:r>
      <w:proofErr w:type="spellEnd"/>
      <w:r>
        <w:rPr>
          <w:rFonts w:ascii="Arial" w:eastAsia="Times New Roman" w:hAnsi="Arial" w:cs="Arial"/>
          <w:i/>
          <w:u w:val="single"/>
          <w:lang w:eastAsia="pt-BR"/>
        </w:rPr>
        <w:t xml:space="preserve"> operacional global) X Média de Permanência em horas</w:t>
      </w:r>
    </w:p>
    <w:p w:rsidR="00595709" w:rsidRDefault="00C14B4D">
      <w:pPr>
        <w:shd w:val="clear" w:color="auto" w:fill="FFFFFF"/>
        <w:spacing w:after="0" w:line="360" w:lineRule="auto"/>
        <w:jc w:val="center"/>
        <w:rPr>
          <w:rFonts w:ascii="Arial" w:eastAsia="Times New Roman" w:hAnsi="Arial" w:cs="Arial"/>
          <w:i/>
          <w:lang w:eastAsia="pt-BR"/>
        </w:rPr>
      </w:pPr>
      <w:r>
        <w:rPr>
          <w:rFonts w:ascii="Arial" w:eastAsia="Times New Roman" w:hAnsi="Arial" w:cs="Arial"/>
          <w:i/>
          <w:lang w:eastAsia="pt-BR"/>
        </w:rPr>
        <w:t>Taxa de Ocupação Operacional global</w:t>
      </w:r>
    </w:p>
    <w:p w:rsidR="00595709" w:rsidRDefault="00595709">
      <w:pPr>
        <w:shd w:val="clear" w:color="auto" w:fill="FFFFFF"/>
        <w:spacing w:after="0" w:line="360" w:lineRule="auto"/>
        <w:jc w:val="center"/>
        <w:rPr>
          <w:rFonts w:ascii="Arial" w:eastAsia="Times New Roman" w:hAnsi="Arial" w:cs="Arial"/>
          <w:i/>
          <w:lang w:eastAsia="pt-BR"/>
        </w:rPr>
      </w:pPr>
    </w:p>
    <w:p w:rsidR="00595709" w:rsidRDefault="00C14B4D">
      <w:pPr>
        <w:spacing w:after="0" w:line="360" w:lineRule="auto"/>
        <w:ind w:firstLine="360"/>
        <w:jc w:val="center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4724400" cy="1847850"/>
            <wp:effectExtent l="19050" t="0" r="19050" b="0"/>
            <wp:docPr id="41" name="Gráfico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595709" w:rsidRDefault="00C14B4D">
      <w:pPr>
        <w:jc w:val="right"/>
        <w:rPr>
          <w:i/>
          <w:sz w:val="18"/>
          <w:szCs w:val="18"/>
        </w:rPr>
      </w:pPr>
      <w:r>
        <w:rPr>
          <w:i/>
          <w:sz w:val="18"/>
          <w:szCs w:val="18"/>
        </w:rPr>
        <w:t>Fonte: Relatório Institucional – RIH</w:t>
      </w:r>
    </w:p>
    <w:p w:rsidR="00595709" w:rsidRDefault="00595709">
      <w:pPr>
        <w:spacing w:after="0" w:line="360" w:lineRule="auto"/>
        <w:ind w:firstLine="360"/>
        <w:jc w:val="right"/>
        <w:rPr>
          <w:rFonts w:ascii="Arial" w:hAnsi="Arial" w:cs="Arial"/>
          <w:i/>
          <w:sz w:val="24"/>
          <w:szCs w:val="24"/>
        </w:rPr>
      </w:pPr>
    </w:p>
    <w:p w:rsidR="00595709" w:rsidRDefault="00C14B4D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Esse indicador está diretamente ligado à média de permanência e a taxa de ocupação institucional, e por isso pode sofrer interferência em sua variação. </w:t>
      </w:r>
    </w:p>
    <w:p w:rsidR="00595709" w:rsidRDefault="00595709">
      <w:pPr>
        <w:spacing w:after="0" w:line="360" w:lineRule="auto"/>
        <w:ind w:left="360"/>
        <w:rPr>
          <w:rFonts w:ascii="Arial" w:hAnsi="Arial" w:cs="Arial"/>
          <w:i/>
          <w:color w:val="1F497D" w:themeColor="text2"/>
          <w:sz w:val="24"/>
          <w:szCs w:val="24"/>
        </w:rPr>
      </w:pPr>
    </w:p>
    <w:p w:rsidR="00595709" w:rsidRDefault="00C14B4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595709" w:rsidRDefault="00595709">
      <w:pPr>
        <w:pStyle w:val="Ttulo1"/>
        <w:rPr>
          <w:rFonts w:ascii="Arial" w:eastAsiaTheme="minorHAnsi" w:hAnsi="Arial" w:cs="Arial"/>
          <w:b w:val="0"/>
          <w:bCs w:val="0"/>
          <w:color w:val="auto"/>
          <w:sz w:val="24"/>
          <w:szCs w:val="24"/>
        </w:rPr>
      </w:pPr>
    </w:p>
    <w:p w:rsidR="00595709" w:rsidRDefault="00C14B4D">
      <w:pPr>
        <w:pStyle w:val="Ttulo1"/>
        <w:rPr>
          <w:rFonts w:ascii="Arial" w:hAnsi="Arial" w:cs="Arial"/>
          <w:color w:val="000000" w:themeColor="text1"/>
          <w:sz w:val="24"/>
          <w:szCs w:val="24"/>
        </w:rPr>
      </w:pPr>
      <w:bookmarkStart w:id="5" w:name="_Toc44681920"/>
      <w:r>
        <w:rPr>
          <w:rFonts w:ascii="Arial" w:hAnsi="Arial" w:cs="Arial"/>
          <w:color w:val="000000" w:themeColor="text1"/>
          <w:sz w:val="24"/>
          <w:szCs w:val="24"/>
        </w:rPr>
        <w:t>AÇÕES E ATIVIDADES</w:t>
      </w:r>
      <w:bookmarkEnd w:id="5"/>
    </w:p>
    <w:p w:rsidR="00C14B4D" w:rsidRPr="00C14B4D" w:rsidRDefault="00C14B4D" w:rsidP="00C14B4D"/>
    <w:p w:rsidR="00595709" w:rsidRDefault="00C14B4D">
      <w:pPr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noProof/>
          <w:color w:val="FF0000"/>
          <w:sz w:val="24"/>
          <w:szCs w:val="24"/>
          <w:lang w:eastAsia="pt-BR"/>
        </w:rPr>
        <w:drawing>
          <wp:inline distT="0" distB="0" distL="0" distR="0">
            <wp:extent cx="5189055" cy="7427417"/>
            <wp:effectExtent l="19050" t="0" r="0" b="0"/>
            <wp:docPr id="2" name="Imagem 1" descr="C:\Users\camilacrac\Downloads\WhatsApp Image 2020-06-10 at 10.58.3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milacrac\Downloads\WhatsApp Image 2020-06-10 at 10.58.38 (1)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334" cy="7430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709" w:rsidRDefault="00595709">
      <w:pPr>
        <w:spacing w:after="0" w:line="360" w:lineRule="auto"/>
        <w:jc w:val="center"/>
        <w:rPr>
          <w:rFonts w:ascii="Arial" w:hAnsi="Arial" w:cs="Arial"/>
          <w:b/>
          <w:color w:val="FF0000"/>
          <w:sz w:val="24"/>
          <w:szCs w:val="24"/>
        </w:rPr>
      </w:pPr>
    </w:p>
    <w:sectPr w:rsidR="00595709" w:rsidSect="00642CEC">
      <w:headerReference w:type="default" r:id="rId23"/>
      <w:footerReference w:type="default" r:id="rId24"/>
      <w:pgSz w:w="11906" w:h="16838"/>
      <w:pgMar w:top="1701" w:right="1134" w:bottom="1134" w:left="1701" w:header="708" w:footer="708" w:gutter="0"/>
      <w:pgNumType w:start="3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95709" w:rsidRDefault="00595709" w:rsidP="00595709">
      <w:pPr>
        <w:spacing w:after="0" w:line="240" w:lineRule="auto"/>
      </w:pPr>
      <w:r>
        <w:separator/>
      </w:r>
    </w:p>
  </w:endnote>
  <w:endnote w:type="continuationSeparator" w:id="0">
    <w:p w:rsidR="00595709" w:rsidRDefault="00595709" w:rsidP="005957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05785036"/>
    </w:sdtPr>
    <w:sdtContent>
      <w:p w:rsidR="00595709" w:rsidRDefault="00B267E0">
        <w:pPr>
          <w:pStyle w:val="Rodap"/>
          <w:jc w:val="right"/>
        </w:pPr>
        <w:r>
          <w:fldChar w:fldCharType="begin"/>
        </w:r>
        <w:r w:rsidR="00C14B4D">
          <w:instrText>PAGE   \* MERGEFORMAT</w:instrText>
        </w:r>
        <w:r>
          <w:fldChar w:fldCharType="separate"/>
        </w:r>
        <w:r w:rsidR="008A5F9A">
          <w:rPr>
            <w:noProof/>
          </w:rPr>
          <w:t>19</w:t>
        </w:r>
        <w:r>
          <w:fldChar w:fldCharType="end"/>
        </w:r>
      </w:p>
    </w:sdtContent>
  </w:sdt>
  <w:p w:rsidR="00595709" w:rsidRDefault="00595709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95709" w:rsidRDefault="00595709" w:rsidP="00595709">
      <w:pPr>
        <w:spacing w:after="0" w:line="240" w:lineRule="auto"/>
      </w:pPr>
      <w:r>
        <w:separator/>
      </w:r>
    </w:p>
  </w:footnote>
  <w:footnote w:type="continuationSeparator" w:id="0">
    <w:p w:rsidR="00595709" w:rsidRDefault="00595709" w:rsidP="005957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5709" w:rsidRDefault="00C14B4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-952500</wp:posOffset>
          </wp:positionH>
          <wp:positionV relativeFrom="page">
            <wp:posOffset>133985</wp:posOffset>
          </wp:positionV>
          <wp:extent cx="7319010" cy="10479405"/>
          <wp:effectExtent l="0" t="0" r="0" b="0"/>
          <wp:wrapNone/>
          <wp:docPr id="23" name="Imagem 2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Imagem 2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8800" cy="1047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595709" w:rsidRDefault="00595709">
    <w:pPr>
      <w:pStyle w:val="Cabealh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5709" w:rsidRDefault="00C14B4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-952500</wp:posOffset>
          </wp:positionH>
          <wp:positionV relativeFrom="page">
            <wp:posOffset>133985</wp:posOffset>
          </wp:positionV>
          <wp:extent cx="7319010" cy="10479405"/>
          <wp:effectExtent l="0" t="0" r="0" b="0"/>
          <wp:wrapNone/>
          <wp:docPr id="24" name="Imagem 2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m 2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8800" cy="1047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595709" w:rsidRDefault="00595709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697555"/>
    <w:multiLevelType w:val="multilevel"/>
    <w:tmpl w:val="03697555"/>
    <w:lvl w:ilvl="0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>
    <w:nsid w:val="126B3FD1"/>
    <w:multiLevelType w:val="multilevel"/>
    <w:tmpl w:val="126B3FD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FB5184"/>
    <w:multiLevelType w:val="multilevel"/>
    <w:tmpl w:val="1AFB5184"/>
    <w:lvl w:ilvl="0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54836B47"/>
    <w:multiLevelType w:val="multilevel"/>
    <w:tmpl w:val="54836B47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54A74BC3"/>
    <w:multiLevelType w:val="multilevel"/>
    <w:tmpl w:val="54A74BC3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7920C66"/>
    <w:multiLevelType w:val="multilevel"/>
    <w:tmpl w:val="67920C6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2"/>
  </w:num>
  <w:num w:numId="5">
    <w:abstractNumId w:val="3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B5447"/>
    <w:rsid w:val="00005B31"/>
    <w:rsid w:val="0001256A"/>
    <w:rsid w:val="00014395"/>
    <w:rsid w:val="00024DDB"/>
    <w:rsid w:val="000305F7"/>
    <w:rsid w:val="000320EC"/>
    <w:rsid w:val="0003451C"/>
    <w:rsid w:val="00041579"/>
    <w:rsid w:val="00045D24"/>
    <w:rsid w:val="000548D3"/>
    <w:rsid w:val="0005522C"/>
    <w:rsid w:val="00055927"/>
    <w:rsid w:val="00077036"/>
    <w:rsid w:val="00077AE1"/>
    <w:rsid w:val="00085DDA"/>
    <w:rsid w:val="0008643C"/>
    <w:rsid w:val="000A47ED"/>
    <w:rsid w:val="000A6838"/>
    <w:rsid w:val="000B413C"/>
    <w:rsid w:val="000B7F66"/>
    <w:rsid w:val="000C0B1D"/>
    <w:rsid w:val="000D0A29"/>
    <w:rsid w:val="000D0EE8"/>
    <w:rsid w:val="000D6F93"/>
    <w:rsid w:val="000D785D"/>
    <w:rsid w:val="000E7156"/>
    <w:rsid w:val="00104CC4"/>
    <w:rsid w:val="001063FB"/>
    <w:rsid w:val="001130C2"/>
    <w:rsid w:val="0011567F"/>
    <w:rsid w:val="001363F4"/>
    <w:rsid w:val="00141F99"/>
    <w:rsid w:val="00147152"/>
    <w:rsid w:val="00151AD5"/>
    <w:rsid w:val="00153B10"/>
    <w:rsid w:val="00157CAD"/>
    <w:rsid w:val="00160C6E"/>
    <w:rsid w:val="00161CBB"/>
    <w:rsid w:val="0016753B"/>
    <w:rsid w:val="0017315C"/>
    <w:rsid w:val="00175141"/>
    <w:rsid w:val="00176E0A"/>
    <w:rsid w:val="001904B2"/>
    <w:rsid w:val="0019433C"/>
    <w:rsid w:val="00196172"/>
    <w:rsid w:val="00197C16"/>
    <w:rsid w:val="001A6D04"/>
    <w:rsid w:val="001C398B"/>
    <w:rsid w:val="001D014F"/>
    <w:rsid w:val="001E0510"/>
    <w:rsid w:val="001F0B1B"/>
    <w:rsid w:val="00200923"/>
    <w:rsid w:val="0021069F"/>
    <w:rsid w:val="00210B32"/>
    <w:rsid w:val="002432D9"/>
    <w:rsid w:val="0025705F"/>
    <w:rsid w:val="00261CAF"/>
    <w:rsid w:val="0027744B"/>
    <w:rsid w:val="00277558"/>
    <w:rsid w:val="00297C50"/>
    <w:rsid w:val="002A2CA9"/>
    <w:rsid w:val="002D0628"/>
    <w:rsid w:val="002D18FF"/>
    <w:rsid w:val="002D6C53"/>
    <w:rsid w:val="002E1513"/>
    <w:rsid w:val="002E1A7C"/>
    <w:rsid w:val="002E4C90"/>
    <w:rsid w:val="002F5143"/>
    <w:rsid w:val="003101E0"/>
    <w:rsid w:val="00312642"/>
    <w:rsid w:val="00314AFE"/>
    <w:rsid w:val="00323913"/>
    <w:rsid w:val="00330B11"/>
    <w:rsid w:val="00337DC2"/>
    <w:rsid w:val="0034152E"/>
    <w:rsid w:val="00344CC1"/>
    <w:rsid w:val="00354CDB"/>
    <w:rsid w:val="00355AA3"/>
    <w:rsid w:val="00364925"/>
    <w:rsid w:val="00371D05"/>
    <w:rsid w:val="003A3FA9"/>
    <w:rsid w:val="003B7143"/>
    <w:rsid w:val="003D22D9"/>
    <w:rsid w:val="003D6C5B"/>
    <w:rsid w:val="003E1000"/>
    <w:rsid w:val="003E34AD"/>
    <w:rsid w:val="003F18B8"/>
    <w:rsid w:val="00403D5C"/>
    <w:rsid w:val="0041174D"/>
    <w:rsid w:val="00412042"/>
    <w:rsid w:val="00414848"/>
    <w:rsid w:val="00424D5B"/>
    <w:rsid w:val="00430FF8"/>
    <w:rsid w:val="0046122B"/>
    <w:rsid w:val="00470F00"/>
    <w:rsid w:val="00491E6D"/>
    <w:rsid w:val="004926F2"/>
    <w:rsid w:val="00492D90"/>
    <w:rsid w:val="004943FD"/>
    <w:rsid w:val="004945E2"/>
    <w:rsid w:val="004A039C"/>
    <w:rsid w:val="004A6816"/>
    <w:rsid w:val="004B096C"/>
    <w:rsid w:val="004C05B2"/>
    <w:rsid w:val="004C104C"/>
    <w:rsid w:val="004C1DAB"/>
    <w:rsid w:val="004C5824"/>
    <w:rsid w:val="004D2CEC"/>
    <w:rsid w:val="004E3A1D"/>
    <w:rsid w:val="004F0E4F"/>
    <w:rsid w:val="005007D4"/>
    <w:rsid w:val="00501BDD"/>
    <w:rsid w:val="00502425"/>
    <w:rsid w:val="00510B83"/>
    <w:rsid w:val="00511610"/>
    <w:rsid w:val="005130EE"/>
    <w:rsid w:val="00514ED0"/>
    <w:rsid w:val="0052374D"/>
    <w:rsid w:val="005346CA"/>
    <w:rsid w:val="00536052"/>
    <w:rsid w:val="00541111"/>
    <w:rsid w:val="00555219"/>
    <w:rsid w:val="00566268"/>
    <w:rsid w:val="00595709"/>
    <w:rsid w:val="0059725D"/>
    <w:rsid w:val="005A0371"/>
    <w:rsid w:val="005B2F55"/>
    <w:rsid w:val="005B6D25"/>
    <w:rsid w:val="005D141A"/>
    <w:rsid w:val="005D5AD6"/>
    <w:rsid w:val="005F0025"/>
    <w:rsid w:val="005F09FE"/>
    <w:rsid w:val="005F295C"/>
    <w:rsid w:val="005F5621"/>
    <w:rsid w:val="0060213E"/>
    <w:rsid w:val="006047E6"/>
    <w:rsid w:val="00612978"/>
    <w:rsid w:val="006250B8"/>
    <w:rsid w:val="00634BD9"/>
    <w:rsid w:val="00642CEC"/>
    <w:rsid w:val="00652B09"/>
    <w:rsid w:val="00667458"/>
    <w:rsid w:val="00672C42"/>
    <w:rsid w:val="00672EC9"/>
    <w:rsid w:val="00682A29"/>
    <w:rsid w:val="00682D93"/>
    <w:rsid w:val="00690AA7"/>
    <w:rsid w:val="006A1A76"/>
    <w:rsid w:val="006A47B7"/>
    <w:rsid w:val="006B5F47"/>
    <w:rsid w:val="006B7D27"/>
    <w:rsid w:val="006C4B89"/>
    <w:rsid w:val="006E09DD"/>
    <w:rsid w:val="006E1D7C"/>
    <w:rsid w:val="00701738"/>
    <w:rsid w:val="00703ADE"/>
    <w:rsid w:val="007122D9"/>
    <w:rsid w:val="00716A20"/>
    <w:rsid w:val="007252AE"/>
    <w:rsid w:val="0073465C"/>
    <w:rsid w:val="00740FE1"/>
    <w:rsid w:val="007440FE"/>
    <w:rsid w:val="0075359B"/>
    <w:rsid w:val="007720F4"/>
    <w:rsid w:val="00782864"/>
    <w:rsid w:val="00785361"/>
    <w:rsid w:val="00794EDD"/>
    <w:rsid w:val="00797F44"/>
    <w:rsid w:val="007B695E"/>
    <w:rsid w:val="007C2A0E"/>
    <w:rsid w:val="007C4756"/>
    <w:rsid w:val="007D15E7"/>
    <w:rsid w:val="007D52E4"/>
    <w:rsid w:val="007E5218"/>
    <w:rsid w:val="007F184A"/>
    <w:rsid w:val="007F3083"/>
    <w:rsid w:val="007F6363"/>
    <w:rsid w:val="00801DEF"/>
    <w:rsid w:val="008150EB"/>
    <w:rsid w:val="0081720B"/>
    <w:rsid w:val="00826A6E"/>
    <w:rsid w:val="0083591D"/>
    <w:rsid w:val="0084621F"/>
    <w:rsid w:val="00847534"/>
    <w:rsid w:val="00854CF2"/>
    <w:rsid w:val="0085601D"/>
    <w:rsid w:val="00860CAB"/>
    <w:rsid w:val="008642A1"/>
    <w:rsid w:val="00866275"/>
    <w:rsid w:val="00887923"/>
    <w:rsid w:val="00896CCD"/>
    <w:rsid w:val="008A4D59"/>
    <w:rsid w:val="008A5F9A"/>
    <w:rsid w:val="008D29B1"/>
    <w:rsid w:val="008E0811"/>
    <w:rsid w:val="008E27B8"/>
    <w:rsid w:val="008F2141"/>
    <w:rsid w:val="00913666"/>
    <w:rsid w:val="00916A50"/>
    <w:rsid w:val="009253ED"/>
    <w:rsid w:val="00932EFD"/>
    <w:rsid w:val="00946E2F"/>
    <w:rsid w:val="00957BBF"/>
    <w:rsid w:val="00964BCE"/>
    <w:rsid w:val="009675DE"/>
    <w:rsid w:val="00972759"/>
    <w:rsid w:val="00985619"/>
    <w:rsid w:val="00985830"/>
    <w:rsid w:val="009A6E2B"/>
    <w:rsid w:val="009B0AB6"/>
    <w:rsid w:val="009B0ABA"/>
    <w:rsid w:val="009B25D6"/>
    <w:rsid w:val="009B3F62"/>
    <w:rsid w:val="009B5447"/>
    <w:rsid w:val="009C1EF5"/>
    <w:rsid w:val="009D5909"/>
    <w:rsid w:val="009D7CAC"/>
    <w:rsid w:val="009E2E13"/>
    <w:rsid w:val="009E7309"/>
    <w:rsid w:val="009F0C0A"/>
    <w:rsid w:val="009F2AD1"/>
    <w:rsid w:val="00A00E18"/>
    <w:rsid w:val="00A05009"/>
    <w:rsid w:val="00A216AF"/>
    <w:rsid w:val="00A27E0F"/>
    <w:rsid w:val="00A40A0F"/>
    <w:rsid w:val="00A53655"/>
    <w:rsid w:val="00A57EE1"/>
    <w:rsid w:val="00A7132A"/>
    <w:rsid w:val="00A72AE1"/>
    <w:rsid w:val="00A737BF"/>
    <w:rsid w:val="00A759B9"/>
    <w:rsid w:val="00A9411E"/>
    <w:rsid w:val="00A956FB"/>
    <w:rsid w:val="00A96138"/>
    <w:rsid w:val="00A96E4C"/>
    <w:rsid w:val="00AA002C"/>
    <w:rsid w:val="00AA247D"/>
    <w:rsid w:val="00AA49E1"/>
    <w:rsid w:val="00AB204C"/>
    <w:rsid w:val="00AB22E5"/>
    <w:rsid w:val="00AB58F5"/>
    <w:rsid w:val="00AD0651"/>
    <w:rsid w:val="00AD4182"/>
    <w:rsid w:val="00AE048A"/>
    <w:rsid w:val="00AF47D9"/>
    <w:rsid w:val="00AF7E36"/>
    <w:rsid w:val="00B1044C"/>
    <w:rsid w:val="00B169A5"/>
    <w:rsid w:val="00B2353E"/>
    <w:rsid w:val="00B267E0"/>
    <w:rsid w:val="00B27B65"/>
    <w:rsid w:val="00B4764F"/>
    <w:rsid w:val="00B50E84"/>
    <w:rsid w:val="00B51DAA"/>
    <w:rsid w:val="00B574D2"/>
    <w:rsid w:val="00B6256E"/>
    <w:rsid w:val="00B6475A"/>
    <w:rsid w:val="00B7346D"/>
    <w:rsid w:val="00B73B85"/>
    <w:rsid w:val="00B82CD1"/>
    <w:rsid w:val="00B869B0"/>
    <w:rsid w:val="00B92F07"/>
    <w:rsid w:val="00BC4FD4"/>
    <w:rsid w:val="00BC6926"/>
    <w:rsid w:val="00BF4C94"/>
    <w:rsid w:val="00C019CF"/>
    <w:rsid w:val="00C10014"/>
    <w:rsid w:val="00C1244C"/>
    <w:rsid w:val="00C14B4D"/>
    <w:rsid w:val="00C151F6"/>
    <w:rsid w:val="00C341FF"/>
    <w:rsid w:val="00C3423D"/>
    <w:rsid w:val="00C3530E"/>
    <w:rsid w:val="00C41164"/>
    <w:rsid w:val="00C42D6F"/>
    <w:rsid w:val="00C54F9A"/>
    <w:rsid w:val="00C61ABA"/>
    <w:rsid w:val="00C64967"/>
    <w:rsid w:val="00C67787"/>
    <w:rsid w:val="00C726A7"/>
    <w:rsid w:val="00C77FBA"/>
    <w:rsid w:val="00C80908"/>
    <w:rsid w:val="00CB2EF5"/>
    <w:rsid w:val="00CB7159"/>
    <w:rsid w:val="00CC1746"/>
    <w:rsid w:val="00CC6068"/>
    <w:rsid w:val="00CD60D8"/>
    <w:rsid w:val="00CE3A9C"/>
    <w:rsid w:val="00D01A7B"/>
    <w:rsid w:val="00D0641E"/>
    <w:rsid w:val="00D10772"/>
    <w:rsid w:val="00D16654"/>
    <w:rsid w:val="00D30F98"/>
    <w:rsid w:val="00D61557"/>
    <w:rsid w:val="00D63D5D"/>
    <w:rsid w:val="00D749E2"/>
    <w:rsid w:val="00D74D22"/>
    <w:rsid w:val="00D8141C"/>
    <w:rsid w:val="00D82037"/>
    <w:rsid w:val="00D91309"/>
    <w:rsid w:val="00D92144"/>
    <w:rsid w:val="00D97EF1"/>
    <w:rsid w:val="00DA25E6"/>
    <w:rsid w:val="00DB3E31"/>
    <w:rsid w:val="00DB5EAB"/>
    <w:rsid w:val="00DB6C72"/>
    <w:rsid w:val="00DB75D9"/>
    <w:rsid w:val="00DC0D0B"/>
    <w:rsid w:val="00DC194B"/>
    <w:rsid w:val="00DC217F"/>
    <w:rsid w:val="00DC394E"/>
    <w:rsid w:val="00DC4704"/>
    <w:rsid w:val="00DC47FA"/>
    <w:rsid w:val="00DF0E8F"/>
    <w:rsid w:val="00E10E13"/>
    <w:rsid w:val="00E24754"/>
    <w:rsid w:val="00E24BC1"/>
    <w:rsid w:val="00E25B1F"/>
    <w:rsid w:val="00E35F48"/>
    <w:rsid w:val="00E3786C"/>
    <w:rsid w:val="00E4122C"/>
    <w:rsid w:val="00E5648D"/>
    <w:rsid w:val="00E6076C"/>
    <w:rsid w:val="00E67B69"/>
    <w:rsid w:val="00E74677"/>
    <w:rsid w:val="00E817EB"/>
    <w:rsid w:val="00E86EA4"/>
    <w:rsid w:val="00EB69CD"/>
    <w:rsid w:val="00EB7825"/>
    <w:rsid w:val="00ED1E6A"/>
    <w:rsid w:val="00EE0611"/>
    <w:rsid w:val="00EE371D"/>
    <w:rsid w:val="00EE3EC5"/>
    <w:rsid w:val="00EE47C1"/>
    <w:rsid w:val="00EF33BE"/>
    <w:rsid w:val="00F211E8"/>
    <w:rsid w:val="00F26452"/>
    <w:rsid w:val="00F33C46"/>
    <w:rsid w:val="00F477EE"/>
    <w:rsid w:val="00F71E8F"/>
    <w:rsid w:val="00F7550D"/>
    <w:rsid w:val="00F75B4C"/>
    <w:rsid w:val="00F76E6C"/>
    <w:rsid w:val="00F8009A"/>
    <w:rsid w:val="00F95E35"/>
    <w:rsid w:val="00F96D7B"/>
    <w:rsid w:val="00FA552F"/>
    <w:rsid w:val="00FB75A2"/>
    <w:rsid w:val="00FD789D"/>
    <w:rsid w:val="00FD7AA6"/>
    <w:rsid w:val="00FF0563"/>
    <w:rsid w:val="00FF6FF2"/>
    <w:rsid w:val="0D6C0E90"/>
    <w:rsid w:val="1F905FB2"/>
    <w:rsid w:val="2E925EE4"/>
    <w:rsid w:val="474B4E29"/>
    <w:rsid w:val="52EE7B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 w:qFormat="1"/>
    <w:lsdException w:name="List Paragraph" w:semiHidden="0" w:uiPriority="34" w:unhideWhenUsed="0" w:qFormat="1"/>
    <w:lsdException w:name="Light Shading Accent 3" w:semiHidden="0" w:uiPriority="60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5709"/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59570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qFormat/>
    <w:rsid w:val="00595709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qFormat/>
    <w:rsid w:val="00595709"/>
    <w:pPr>
      <w:tabs>
        <w:tab w:val="center" w:pos="4252"/>
        <w:tab w:val="right" w:pos="8504"/>
      </w:tabs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59570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Sumrio1">
    <w:name w:val="toc 1"/>
    <w:basedOn w:val="Normal"/>
    <w:next w:val="Normal"/>
    <w:uiPriority w:val="39"/>
    <w:unhideWhenUsed/>
    <w:qFormat/>
    <w:rsid w:val="00595709"/>
    <w:pPr>
      <w:spacing w:after="100"/>
    </w:pPr>
  </w:style>
  <w:style w:type="character" w:styleId="Forte">
    <w:name w:val="Strong"/>
    <w:basedOn w:val="Fontepargpadro"/>
    <w:uiPriority w:val="22"/>
    <w:qFormat/>
    <w:rsid w:val="00595709"/>
    <w:rPr>
      <w:b/>
      <w:bCs/>
    </w:rPr>
  </w:style>
  <w:style w:type="character" w:styleId="nfase">
    <w:name w:val="Emphasis"/>
    <w:basedOn w:val="Fontepargpadro"/>
    <w:uiPriority w:val="20"/>
    <w:qFormat/>
    <w:rsid w:val="00595709"/>
    <w:rPr>
      <w:i/>
      <w:iCs/>
    </w:rPr>
  </w:style>
  <w:style w:type="character" w:styleId="Hyperlink">
    <w:name w:val="Hyperlink"/>
    <w:basedOn w:val="Fontepargpadro"/>
    <w:uiPriority w:val="99"/>
    <w:unhideWhenUsed/>
    <w:qFormat/>
    <w:rsid w:val="00595709"/>
    <w:rPr>
      <w:color w:val="0000FF" w:themeColor="hyperlink"/>
      <w:u w:val="single"/>
    </w:rPr>
  </w:style>
  <w:style w:type="table" w:styleId="Tabelacomgrade">
    <w:name w:val="Table Grid"/>
    <w:basedOn w:val="Tabelanormal"/>
    <w:uiPriority w:val="59"/>
    <w:qFormat/>
    <w:rsid w:val="0059570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abealhoChar">
    <w:name w:val="Cabeçalho Char"/>
    <w:basedOn w:val="Fontepargpadro"/>
    <w:link w:val="Cabealho"/>
    <w:uiPriority w:val="99"/>
    <w:qFormat/>
    <w:rsid w:val="00595709"/>
  </w:style>
  <w:style w:type="character" w:customStyle="1" w:styleId="RodapChar">
    <w:name w:val="Rodapé Char"/>
    <w:basedOn w:val="Fontepargpadro"/>
    <w:link w:val="Rodap"/>
    <w:uiPriority w:val="99"/>
    <w:qFormat/>
    <w:rsid w:val="00595709"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595709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595709"/>
    <w:pPr>
      <w:ind w:left="720"/>
      <w:contextualSpacing/>
    </w:pPr>
  </w:style>
  <w:style w:type="table" w:styleId="SombreamentoClaro-nfase3">
    <w:name w:val="Light Shading Accent 3"/>
    <w:basedOn w:val="Tabelanormal"/>
    <w:uiPriority w:val="60"/>
    <w:qFormat/>
    <w:rsid w:val="00595709"/>
    <w:pPr>
      <w:spacing w:after="0" w:line="240" w:lineRule="auto"/>
    </w:pPr>
    <w:rPr>
      <w:color w:val="76923C" w:themeColor="accent3" w:themeShade="BF"/>
    </w:rPr>
    <w:tblPr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character" w:customStyle="1" w:styleId="Ttulo1Char">
    <w:name w:val="Título 1 Char"/>
    <w:basedOn w:val="Fontepargpadro"/>
    <w:link w:val="Ttulo1"/>
    <w:uiPriority w:val="9"/>
    <w:qFormat/>
    <w:rsid w:val="0059570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CabealhodoSumrio1">
    <w:name w:val="Cabeçalho do Sumário1"/>
    <w:basedOn w:val="Ttulo1"/>
    <w:next w:val="Normal"/>
    <w:uiPriority w:val="39"/>
    <w:semiHidden/>
    <w:unhideWhenUsed/>
    <w:qFormat/>
    <w:rsid w:val="00595709"/>
    <w:pPr>
      <w:outlineLvl w:val="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641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3.xml"/><Relationship Id="rId18" Type="http://schemas.openxmlformats.org/officeDocument/2006/relationships/chart" Target="charts/chart8.xml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chart" Target="charts/chart11.xml"/><Relationship Id="rId7" Type="http://schemas.openxmlformats.org/officeDocument/2006/relationships/footnotes" Target="footnotes.xml"/><Relationship Id="rId12" Type="http://schemas.openxmlformats.org/officeDocument/2006/relationships/chart" Target="charts/chart2.xml"/><Relationship Id="rId17" Type="http://schemas.openxmlformats.org/officeDocument/2006/relationships/chart" Target="charts/chart7.xm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chart" Target="charts/chart6.xml"/><Relationship Id="rId20" Type="http://schemas.openxmlformats.org/officeDocument/2006/relationships/chart" Target="charts/chart10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1.xml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chart" Target="charts/chart5.xml"/><Relationship Id="rId23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chart" Target="charts/chart9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chart" Target="charts/chart4.xml"/><Relationship Id="rId22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Pasta1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Planilha_do_Microsoft_Office_Excel9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Planilha_do_Microsoft_Office_Excel10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Planilha_do_Microsoft_Office_Excel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Planilha_do_Microsoft_Office_Excel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Planilha_do_Microsoft_Office_Excel3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Planilha_do_Microsoft_Office_Excel4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Planilha_do_Microsoft_Office_Excel5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Planilha_do_Microsoft_Office_Excel6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Planilha_do_Microsoft_Office_Excel7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Planilha_do_Microsoft_Office_Excel8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pt-BR"/>
  <c:style val="29"/>
  <c:chart>
    <c:title>
      <c:tx>
        <c:rich>
          <a:bodyPr rot="0" spcFirstLastPara="0" vertOverflow="ellipsis" vert="horz" wrap="square" anchor="ctr" anchorCtr="1"/>
          <a:lstStyle/>
          <a:p>
            <a:pPr>
              <a:defRPr lang="pt-BR" sz="18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pt-BR"/>
              <a:t>Nº de Leitos/ Unidade de Internação</a:t>
            </a:r>
          </a:p>
        </c:rich>
      </c:tx>
    </c:title>
    <c:plotArea>
      <c:layout/>
      <c:barChart>
        <c:barDir val="col"/>
        <c:grouping val="clustered"/>
        <c:ser>
          <c:idx val="0"/>
          <c:order val="0"/>
          <c:spPr>
            <a:solidFill>
              <a:schemeClr val="accent1"/>
            </a:solidFill>
          </c:spPr>
          <c:dPt>
            <c:idx val="6"/>
            <c:spPr>
              <a:solidFill>
                <a:srgbClr val="C00000"/>
              </a:solidFill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pt-BR" sz="10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  <c15:leaderLines/>
              </c:ext>
            </c:extLst>
          </c:dLbls>
          <c:cat>
            <c:strRef>
              <c:f>Plan1!$A$3:$A$9</c:f>
              <c:strCache>
                <c:ptCount val="7"/>
                <c:pt idx="0">
                  <c:v>UTI Adulto</c:v>
                </c:pt>
                <c:pt idx="1">
                  <c:v>UTI Pediátrica</c:v>
                </c:pt>
                <c:pt idx="2">
                  <c:v>Emergênica</c:v>
                </c:pt>
                <c:pt idx="3">
                  <c:v>U. I. Aduto</c:v>
                </c:pt>
                <c:pt idx="4">
                  <c:v>U. I. Pediátrica</c:v>
                </c:pt>
                <c:pt idx="5">
                  <c:v>Hospital Dia</c:v>
                </c:pt>
                <c:pt idx="6">
                  <c:v>Total</c:v>
                </c:pt>
              </c:strCache>
            </c:strRef>
          </c:cat>
          <c:val>
            <c:numRef>
              <c:f>Plan1!$B$3:$B$9</c:f>
              <c:numCache>
                <c:formatCode>General</c:formatCode>
                <c:ptCount val="7"/>
                <c:pt idx="0">
                  <c:v>9</c:v>
                </c:pt>
                <c:pt idx="1">
                  <c:v>4</c:v>
                </c:pt>
                <c:pt idx="2">
                  <c:v>6</c:v>
                </c:pt>
                <c:pt idx="3">
                  <c:v>71</c:v>
                </c:pt>
                <c:pt idx="4">
                  <c:v>11</c:v>
                </c:pt>
                <c:pt idx="5">
                  <c:v>10</c:v>
                </c:pt>
                <c:pt idx="6">
                  <c:v>111</c:v>
                </c:pt>
              </c:numCache>
            </c:numRef>
          </c:val>
        </c:ser>
        <c:dLbls>
          <c:showVal val="1"/>
        </c:dLbls>
        <c:overlap val="-25"/>
        <c:axId val="34026624"/>
        <c:axId val="86871424"/>
      </c:barChart>
      <c:catAx>
        <c:axId val="34026624"/>
        <c:scaling>
          <c:orientation val="minMax"/>
        </c:scaling>
        <c:axPos val="b"/>
        <c:numFmt formatCode="General" sourceLinked="0"/>
        <c:maj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pt-BR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86871424"/>
        <c:crosses val="autoZero"/>
        <c:auto val="1"/>
        <c:lblAlgn val="ctr"/>
        <c:lblOffset val="100"/>
      </c:catAx>
      <c:valAx>
        <c:axId val="86871424"/>
        <c:scaling>
          <c:orientation val="minMax"/>
        </c:scaling>
        <c:delete val="1"/>
        <c:axPos val="l"/>
        <c:numFmt formatCode="General" sourceLinked="1"/>
        <c:majorTickMark val="none"/>
        <c:tickLblPos val="none"/>
        <c:crossAx val="34026624"/>
        <c:crosses val="autoZero"/>
        <c:crossBetween val="between"/>
      </c:valAx>
    </c:plotArea>
    <c:plotVisOnly val="1"/>
    <c:dispBlanksAs val="gap"/>
  </c:chart>
  <c:spPr>
    <a:ln w="9525" cap="flat" cmpd="sng" algn="ctr">
      <a:noFill/>
      <a:prstDash val="solid"/>
      <a:round/>
    </a:ln>
  </c:spPr>
  <c:txPr>
    <a:bodyPr/>
    <a:lstStyle/>
    <a:p>
      <a:pPr>
        <a:defRPr lang="pt-BR"/>
      </a:pPr>
      <a:endParaRPr lang="pt-BR"/>
    </a:p>
  </c:txPr>
  <c:externalData r:id="rId1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t-BR"/>
  <c:chart>
    <c:title>
      <c:tx>
        <c:rich>
          <a:bodyPr rot="0" spcFirstLastPara="0" vertOverflow="ellipsis" vert="horz" wrap="square" anchor="ctr" anchorCtr="1"/>
          <a:lstStyle/>
          <a:p>
            <a:pPr>
              <a:defRPr lang="pt-BR" sz="18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en-US" baseline="0"/>
              <a:t>Média de Permanência Hospitalar (em dias) - </a:t>
            </a:r>
            <a:r>
              <a:rPr altLang="en-US" baseline="0"/>
              <a:t>Maio</a:t>
            </a:r>
            <a:r>
              <a:rPr lang="en-US" baseline="0"/>
              <a:t> 2019</a:t>
            </a:r>
            <a:endParaRPr lang="en-US"/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Plan1!$B$1</c:f>
              <c:strCache>
                <c:ptCount val="1"/>
                <c:pt idx="0">
                  <c:v>Série 1</c:v>
                </c:pt>
              </c:strCache>
            </c:strRef>
          </c:tx>
          <c:spPr>
            <a:solidFill>
              <a:srgbClr val="0070C0"/>
            </a:solidFill>
          </c:spPr>
          <c:dPt>
            <c:idx val="1"/>
            <c:spPr>
              <a:solidFill>
                <a:srgbClr val="C00000"/>
              </a:solidFill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pt-BR"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  <c15:leaderLines/>
              </c:ext>
            </c:extLst>
          </c:dLbls>
          <c:cat>
            <c:strRef>
              <c:f>Plan1!$A$2:$A$3</c:f>
              <c:strCache>
                <c:ptCount val="2"/>
                <c:pt idx="0">
                  <c:v>Média de Permanência </c:v>
                </c:pt>
                <c:pt idx="1">
                  <c:v>Meta Contratual </c:v>
                </c:pt>
              </c:strCache>
            </c:strRef>
          </c:cat>
          <c:val>
            <c:numRef>
              <c:f>Plan1!$B$2:$B$3</c:f>
              <c:numCache>
                <c:formatCode>General</c:formatCode>
                <c:ptCount val="2"/>
                <c:pt idx="0" formatCode="0">
                  <c:v>8</c:v>
                </c:pt>
                <c:pt idx="1">
                  <c:v>10</c:v>
                </c:pt>
              </c:numCache>
            </c:numRef>
          </c:val>
        </c:ser>
        <c:dLbls>
          <c:showVal val="1"/>
        </c:dLbls>
        <c:axId val="90028672"/>
        <c:axId val="90009984"/>
      </c:barChart>
      <c:catAx>
        <c:axId val="90028672"/>
        <c:scaling>
          <c:orientation val="minMax"/>
        </c:scaling>
        <c:axPos val="b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pt-BR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90009984"/>
        <c:crosses val="autoZero"/>
        <c:auto val="1"/>
        <c:lblAlgn val="ctr"/>
        <c:lblOffset val="100"/>
      </c:catAx>
      <c:valAx>
        <c:axId val="90009984"/>
        <c:scaling>
          <c:orientation val="minMax"/>
        </c:scaling>
        <c:delete val="1"/>
        <c:axPos val="l"/>
        <c:numFmt formatCode="0" sourceLinked="1"/>
        <c:tickLblPos val="none"/>
        <c:crossAx val="90028672"/>
        <c:crosses val="autoZero"/>
        <c:crossBetween val="between"/>
      </c:valAx>
    </c:plotArea>
    <c:plotVisOnly val="1"/>
    <c:dispBlanksAs val="gap"/>
  </c:chart>
  <c:txPr>
    <a:bodyPr/>
    <a:lstStyle/>
    <a:p>
      <a:pPr>
        <a:defRPr lang="pt-BR"/>
      </a:pPr>
      <a:endParaRPr lang="pt-BR"/>
    </a:p>
  </c:txPr>
  <c:externalData r:id="rId1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pt-BR"/>
  <c:chart>
    <c:title>
      <c:tx>
        <c:rich>
          <a:bodyPr rot="0" spcFirstLastPara="0" vertOverflow="ellipsis" vert="horz" wrap="square" anchor="ctr" anchorCtr="1"/>
          <a:lstStyle/>
          <a:p>
            <a:pPr>
              <a:defRPr lang="pt-BR" sz="18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en-US" baseline="0"/>
              <a:t>Índice de Intervalo de Substituição de Leitos (em horas) - </a:t>
            </a:r>
            <a:r>
              <a:rPr altLang="en-US" baseline="0"/>
              <a:t>Maio</a:t>
            </a:r>
            <a:r>
              <a:rPr lang="en-US" baseline="0"/>
              <a:t> 2019</a:t>
            </a:r>
            <a:endParaRPr lang="en-US"/>
          </a:p>
        </c:rich>
      </c:tx>
      <c:layout>
        <c:manualLayout>
          <c:xMode val="edge"/>
          <c:yMode val="edge"/>
          <c:x val="0.11599462365591406"/>
          <c:y val="3.6769759450171802E-2"/>
        </c:manualLayout>
      </c:layout>
    </c:title>
    <c:plotArea>
      <c:layout/>
      <c:barChart>
        <c:barDir val="col"/>
        <c:grouping val="clustered"/>
        <c:ser>
          <c:idx val="0"/>
          <c:order val="0"/>
          <c:tx>
            <c:strRef>
              <c:f>Plan1!$B$1</c:f>
              <c:strCache>
                <c:ptCount val="1"/>
                <c:pt idx="0">
                  <c:v>Série 1</c:v>
                </c:pt>
              </c:strCache>
            </c:strRef>
          </c:tx>
          <c:spPr>
            <a:solidFill>
              <a:srgbClr val="0070C0"/>
            </a:solidFill>
          </c:spPr>
          <c:dPt>
            <c:idx val="1"/>
            <c:spPr>
              <a:solidFill>
                <a:srgbClr val="C00000"/>
              </a:solidFill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pt-BR"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  <c15:leaderLines/>
              </c:ext>
            </c:extLst>
          </c:dLbls>
          <c:cat>
            <c:strRef>
              <c:f>Plan1!$A$2:$A$3</c:f>
              <c:strCache>
                <c:ptCount val="2"/>
                <c:pt idx="0">
                  <c:v>IISL</c:v>
                </c:pt>
                <c:pt idx="1">
                  <c:v>Meta Contratual </c:v>
                </c:pt>
              </c:strCache>
            </c:strRef>
          </c:cat>
          <c:val>
            <c:numRef>
              <c:f>Plan1!$B$2:$B$3</c:f>
              <c:numCache>
                <c:formatCode>General</c:formatCode>
                <c:ptCount val="2"/>
                <c:pt idx="0" formatCode="0">
                  <c:v>9</c:v>
                </c:pt>
                <c:pt idx="1">
                  <c:v>43</c:v>
                </c:pt>
              </c:numCache>
            </c:numRef>
          </c:val>
        </c:ser>
        <c:dLbls>
          <c:showVal val="1"/>
        </c:dLbls>
        <c:axId val="90112384"/>
        <c:axId val="90113920"/>
      </c:barChart>
      <c:catAx>
        <c:axId val="90112384"/>
        <c:scaling>
          <c:orientation val="minMax"/>
        </c:scaling>
        <c:axPos val="b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pt-BR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90113920"/>
        <c:crosses val="autoZero"/>
        <c:auto val="1"/>
        <c:lblAlgn val="ctr"/>
        <c:lblOffset val="100"/>
      </c:catAx>
      <c:valAx>
        <c:axId val="90113920"/>
        <c:scaling>
          <c:orientation val="minMax"/>
        </c:scaling>
        <c:delete val="1"/>
        <c:axPos val="l"/>
        <c:numFmt formatCode="0" sourceLinked="1"/>
        <c:tickLblPos val="none"/>
        <c:crossAx val="90112384"/>
        <c:crosses val="autoZero"/>
        <c:crossBetween val="between"/>
      </c:valAx>
    </c:plotArea>
    <c:plotVisOnly val="1"/>
    <c:dispBlanksAs val="gap"/>
  </c:chart>
  <c:txPr>
    <a:bodyPr/>
    <a:lstStyle/>
    <a:p>
      <a:pPr>
        <a:defRPr lang="pt-BR"/>
      </a:pPr>
      <a:endParaRPr lang="pt-BR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t-BR"/>
  <c:chart>
    <c:title>
      <c:tx>
        <c:rich>
          <a:bodyPr rot="0" spcFirstLastPara="0" vertOverflow="ellipsis" vert="horz" wrap="square" anchor="ctr" anchorCtr="1"/>
          <a:lstStyle/>
          <a:p>
            <a:pPr>
              <a:defRPr lang="pt-BR" sz="18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Internações</a:t>
            </a:r>
            <a:r>
              <a:rPr lang="en-US" baseline="0"/>
              <a:t> - Saídas Faturadas </a:t>
            </a:r>
          </a:p>
          <a:p>
            <a:pPr>
              <a:defRPr lang="pt-BR" sz="18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altLang="en-US" baseline="0"/>
              <a:t>Maio </a:t>
            </a:r>
            <a:r>
              <a:rPr lang="en-US" baseline="0"/>
              <a:t>2019</a:t>
            </a:r>
            <a:endParaRPr lang="en-US"/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Plan1!$B$1</c:f>
              <c:strCache>
                <c:ptCount val="1"/>
                <c:pt idx="0">
                  <c:v>Série 1</c:v>
                </c:pt>
              </c:strCache>
            </c:strRef>
          </c:tx>
          <c:dPt>
            <c:idx val="0"/>
            <c:spPr>
              <a:solidFill>
                <a:srgbClr val="0070C0"/>
              </a:solidFill>
            </c:spPr>
          </c:dPt>
          <c:dPt>
            <c:idx val="1"/>
            <c:spPr>
              <a:solidFill>
                <a:srgbClr val="0070C0"/>
              </a:solidFill>
            </c:spPr>
          </c:dPt>
          <c:dPt>
            <c:idx val="2"/>
            <c:spPr>
              <a:solidFill>
                <a:schemeClr val="tx2">
                  <a:lumMod val="75000"/>
                </a:schemeClr>
              </a:solidFill>
            </c:spPr>
          </c:dPt>
          <c:dPt>
            <c:idx val="3"/>
            <c:spPr>
              <a:solidFill>
                <a:srgbClr val="C00000"/>
              </a:solidFill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pt-BR"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  <c15:leaderLines/>
              </c:ext>
            </c:extLst>
          </c:dLbls>
          <c:cat>
            <c:strRef>
              <c:f>Plan1!$A$2:$A$5</c:f>
              <c:strCache>
                <c:ptCount val="4"/>
                <c:pt idx="0">
                  <c:v>Internação Adulto </c:v>
                </c:pt>
                <c:pt idx="1">
                  <c:v>Internação Pediátrica </c:v>
                </c:pt>
                <c:pt idx="2">
                  <c:v>Total </c:v>
                </c:pt>
                <c:pt idx="3">
                  <c:v>Meta Contratual </c:v>
                </c:pt>
              </c:strCache>
            </c:strRef>
          </c:cat>
          <c:val>
            <c:numRef>
              <c:f>Plan1!$B$2:$B$5</c:f>
              <c:numCache>
                <c:formatCode>General</c:formatCode>
                <c:ptCount val="4"/>
                <c:pt idx="0">
                  <c:v>328</c:v>
                </c:pt>
                <c:pt idx="1">
                  <c:v>51</c:v>
                </c:pt>
                <c:pt idx="2">
                  <c:v>379</c:v>
                </c:pt>
                <c:pt idx="3">
                  <c:v>200</c:v>
                </c:pt>
              </c:numCache>
            </c:numRef>
          </c:val>
        </c:ser>
        <c:dLbls>
          <c:showVal val="1"/>
        </c:dLbls>
        <c:axId val="34073984"/>
        <c:axId val="34075776"/>
      </c:barChart>
      <c:catAx>
        <c:axId val="34073984"/>
        <c:scaling>
          <c:orientation val="minMax"/>
        </c:scaling>
        <c:axPos val="b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pt-BR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34075776"/>
        <c:crosses val="autoZero"/>
        <c:auto val="1"/>
        <c:lblAlgn val="ctr"/>
        <c:lblOffset val="100"/>
      </c:catAx>
      <c:valAx>
        <c:axId val="34075776"/>
        <c:scaling>
          <c:orientation val="minMax"/>
        </c:scaling>
        <c:delete val="1"/>
        <c:axPos val="l"/>
        <c:numFmt formatCode="General" sourceLinked="1"/>
        <c:tickLblPos val="none"/>
        <c:crossAx val="34073984"/>
        <c:crosses val="autoZero"/>
        <c:crossBetween val="between"/>
      </c:valAx>
    </c:plotArea>
    <c:plotVisOnly val="1"/>
    <c:dispBlanksAs val="gap"/>
  </c:chart>
  <c:txPr>
    <a:bodyPr/>
    <a:lstStyle/>
    <a:p>
      <a:pPr>
        <a:defRPr lang="pt-BR"/>
      </a:pPr>
      <a:endParaRPr lang="pt-BR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t-BR"/>
  <c:chart>
    <c:title>
      <c:tx>
        <c:rich>
          <a:bodyPr rot="0" spcFirstLastPara="0" vertOverflow="ellipsis" vert="horz" wrap="square" anchor="ctr" anchorCtr="1"/>
          <a:lstStyle/>
          <a:p>
            <a:pPr>
              <a:defRPr lang="pt-BR" sz="18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en-US" baseline="0"/>
              <a:t>Atendimentos de Urgência e Emergência </a:t>
            </a:r>
          </a:p>
          <a:p>
            <a:pPr>
              <a:defRPr lang="pt-BR" sz="18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altLang="en-US" baseline="0"/>
              <a:t>Maio</a:t>
            </a:r>
            <a:r>
              <a:rPr lang="en-US" baseline="0"/>
              <a:t> 2019</a:t>
            </a:r>
            <a:endParaRPr lang="en-US"/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Plan1!$B$1</c:f>
              <c:strCache>
                <c:ptCount val="1"/>
                <c:pt idx="0">
                  <c:v>Série 1</c:v>
                </c:pt>
              </c:strCache>
            </c:strRef>
          </c:tx>
          <c:spPr>
            <a:solidFill>
              <a:srgbClr val="C00000"/>
            </a:solidFill>
          </c:spPr>
          <c:dPt>
            <c:idx val="0"/>
            <c:spPr>
              <a:solidFill>
                <a:srgbClr val="0070C0"/>
              </a:solidFill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pt-BR"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  <c15:leaderLines/>
              </c:ext>
            </c:extLst>
          </c:dLbls>
          <c:cat>
            <c:strRef>
              <c:f>Plan1!$A$2:$A$3</c:f>
              <c:strCache>
                <c:ptCount val="2"/>
                <c:pt idx="0">
                  <c:v>Atendimentos </c:v>
                </c:pt>
                <c:pt idx="1">
                  <c:v>Meta Contratual </c:v>
                </c:pt>
              </c:strCache>
            </c:strRef>
          </c:cat>
          <c:val>
            <c:numRef>
              <c:f>Plan1!$B$2:$B$3</c:f>
              <c:numCache>
                <c:formatCode>General</c:formatCode>
                <c:ptCount val="2"/>
                <c:pt idx="0">
                  <c:v>837</c:v>
                </c:pt>
                <c:pt idx="1">
                  <c:v>750</c:v>
                </c:pt>
              </c:numCache>
            </c:numRef>
          </c:val>
        </c:ser>
        <c:dLbls>
          <c:showVal val="1"/>
        </c:dLbls>
        <c:axId val="89375872"/>
        <c:axId val="89377408"/>
      </c:barChart>
      <c:catAx>
        <c:axId val="89375872"/>
        <c:scaling>
          <c:orientation val="minMax"/>
        </c:scaling>
        <c:axPos val="b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pt-BR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89377408"/>
        <c:crosses val="autoZero"/>
        <c:auto val="1"/>
        <c:lblAlgn val="ctr"/>
        <c:lblOffset val="100"/>
      </c:catAx>
      <c:valAx>
        <c:axId val="89377408"/>
        <c:scaling>
          <c:orientation val="minMax"/>
        </c:scaling>
        <c:delete val="1"/>
        <c:axPos val="l"/>
        <c:numFmt formatCode="General" sourceLinked="1"/>
        <c:tickLblPos val="none"/>
        <c:crossAx val="89375872"/>
        <c:crosses val="autoZero"/>
        <c:crossBetween val="between"/>
      </c:valAx>
    </c:plotArea>
    <c:plotVisOnly val="1"/>
    <c:dispBlanksAs val="gap"/>
  </c:chart>
  <c:txPr>
    <a:bodyPr/>
    <a:lstStyle/>
    <a:p>
      <a:pPr>
        <a:defRPr lang="pt-BR"/>
      </a:pPr>
      <a:endParaRPr lang="pt-BR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t-BR"/>
  <c:chart>
    <c:title>
      <c:tx>
        <c:rich>
          <a:bodyPr rot="0" spcFirstLastPara="0" vertOverflow="ellipsis" vert="horz" wrap="square" anchor="ctr" anchorCtr="1"/>
          <a:lstStyle/>
          <a:p>
            <a:pPr>
              <a:defRPr lang="pt-BR" sz="18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en-US" baseline="0"/>
              <a:t>Hospital Dia</a:t>
            </a:r>
          </a:p>
          <a:p>
            <a:pPr>
              <a:defRPr lang="pt-BR" sz="18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altLang="en-US" baseline="0"/>
              <a:t>Maio</a:t>
            </a:r>
            <a:r>
              <a:rPr lang="en-US" baseline="0"/>
              <a:t> 2019</a:t>
            </a:r>
            <a:endParaRPr lang="en-US"/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Plan1!$B$1</c:f>
              <c:strCache>
                <c:ptCount val="1"/>
                <c:pt idx="0">
                  <c:v>Série 1</c:v>
                </c:pt>
              </c:strCache>
            </c:strRef>
          </c:tx>
          <c:spPr>
            <a:solidFill>
              <a:srgbClr val="0070C0"/>
            </a:solidFill>
          </c:spPr>
          <c:dPt>
            <c:idx val="1"/>
            <c:spPr>
              <a:solidFill>
                <a:srgbClr val="C00000"/>
              </a:solidFill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pt-BR"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  <c15:leaderLines/>
              </c:ext>
            </c:extLst>
          </c:dLbls>
          <c:cat>
            <c:strRef>
              <c:f>Plan1!$A$2:$A$3</c:f>
              <c:strCache>
                <c:ptCount val="2"/>
                <c:pt idx="0">
                  <c:v>Atendimentos </c:v>
                </c:pt>
                <c:pt idx="1">
                  <c:v>Meta Contratual </c:v>
                </c:pt>
              </c:strCache>
            </c:strRef>
          </c:cat>
          <c:val>
            <c:numRef>
              <c:f>Plan1!$B$2:$B$3</c:f>
              <c:numCache>
                <c:formatCode>General</c:formatCode>
                <c:ptCount val="2"/>
                <c:pt idx="0">
                  <c:v>270</c:v>
                </c:pt>
                <c:pt idx="1">
                  <c:v>100</c:v>
                </c:pt>
              </c:numCache>
            </c:numRef>
          </c:val>
        </c:ser>
        <c:dLbls>
          <c:showVal val="1"/>
        </c:dLbls>
        <c:axId val="89430656"/>
        <c:axId val="89436544"/>
      </c:barChart>
      <c:catAx>
        <c:axId val="89430656"/>
        <c:scaling>
          <c:orientation val="minMax"/>
        </c:scaling>
        <c:axPos val="b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pt-BR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89436544"/>
        <c:crosses val="autoZero"/>
        <c:auto val="1"/>
        <c:lblAlgn val="ctr"/>
        <c:lblOffset val="100"/>
      </c:catAx>
      <c:valAx>
        <c:axId val="89436544"/>
        <c:scaling>
          <c:orientation val="minMax"/>
        </c:scaling>
        <c:delete val="1"/>
        <c:axPos val="l"/>
        <c:numFmt formatCode="General" sourceLinked="1"/>
        <c:tickLblPos val="none"/>
        <c:crossAx val="89430656"/>
        <c:crosses val="autoZero"/>
        <c:crossBetween val="between"/>
      </c:valAx>
    </c:plotArea>
    <c:plotVisOnly val="1"/>
    <c:dispBlanksAs val="gap"/>
  </c:chart>
  <c:txPr>
    <a:bodyPr/>
    <a:lstStyle/>
    <a:p>
      <a:pPr>
        <a:defRPr lang="pt-BR"/>
      </a:pPr>
      <a:endParaRPr lang="pt-BR"/>
    </a:p>
  </c:tx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pt-BR"/>
  <c:chart>
    <c:title>
      <c:tx>
        <c:rich>
          <a:bodyPr rot="0" spcFirstLastPara="0" vertOverflow="ellipsis" vert="horz" wrap="square" anchor="ctr" anchorCtr="1"/>
          <a:lstStyle/>
          <a:p>
            <a:pPr>
              <a:defRPr lang="pt-BR" sz="18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en-US" sz="1800" b="1" i="0" u="none" strike="noStrike" baseline="0"/>
              <a:t>Procedimentos Cirúrgicos e Não Cirúrgicos </a:t>
            </a:r>
          </a:p>
          <a:p>
            <a:pPr>
              <a:defRPr lang="pt-BR" sz="18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altLang="en-US" baseline="0"/>
              <a:t>Maio</a:t>
            </a:r>
            <a:r>
              <a:rPr lang="en-US" baseline="0"/>
              <a:t> 2019</a:t>
            </a:r>
            <a:endParaRPr lang="en-US"/>
          </a:p>
        </c:rich>
      </c:tx>
      <c:layout>
        <c:manualLayout>
          <c:xMode val="edge"/>
          <c:yMode val="edge"/>
          <c:x val="0.13108808290155397"/>
          <c:y val="2.8266666666666704E-2"/>
        </c:manualLayout>
      </c:layout>
    </c:title>
    <c:plotArea>
      <c:layout/>
      <c:barChart>
        <c:barDir val="col"/>
        <c:grouping val="clustered"/>
        <c:ser>
          <c:idx val="0"/>
          <c:order val="0"/>
          <c:tx>
            <c:strRef>
              <c:f>Plan1!$B$1</c:f>
              <c:strCache>
                <c:ptCount val="1"/>
                <c:pt idx="0">
                  <c:v>Série 1</c:v>
                </c:pt>
              </c:strCache>
            </c:strRef>
          </c:tx>
          <c:spPr>
            <a:solidFill>
              <a:srgbClr val="0070C0"/>
            </a:solidFill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pt-BR"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  <c15:leaderLines/>
              </c:ext>
            </c:extLst>
          </c:dLbls>
          <c:cat>
            <c:strRef>
              <c:f>Plan1!$A$2:$A$8</c:f>
              <c:strCache>
                <c:ptCount val="7"/>
                <c:pt idx="0">
                  <c:v>Cirurgia Geral </c:v>
                </c:pt>
                <c:pt idx="1">
                  <c:v>Cirurgia Torácica</c:v>
                </c:pt>
                <c:pt idx="2">
                  <c:v>Gastroenterologia </c:v>
                </c:pt>
                <c:pt idx="3">
                  <c:v>Hematologia </c:v>
                </c:pt>
                <c:pt idx="4">
                  <c:v>Dermatologia </c:v>
                </c:pt>
                <c:pt idx="5">
                  <c:v>Outros </c:v>
                </c:pt>
                <c:pt idx="6">
                  <c:v>Total </c:v>
                </c:pt>
              </c:strCache>
            </c:strRef>
          </c:cat>
          <c:val>
            <c:numRef>
              <c:f>Plan1!$B$2:$B$8</c:f>
              <c:numCache>
                <c:formatCode>General</c:formatCode>
                <c:ptCount val="7"/>
                <c:pt idx="0">
                  <c:v>21</c:v>
                </c:pt>
                <c:pt idx="1">
                  <c:v>14</c:v>
                </c:pt>
                <c:pt idx="2">
                  <c:v>24</c:v>
                </c:pt>
                <c:pt idx="3">
                  <c:v>14</c:v>
                </c:pt>
                <c:pt idx="4">
                  <c:v>1</c:v>
                </c:pt>
                <c:pt idx="5">
                  <c:v>5</c:v>
                </c:pt>
                <c:pt idx="6">
                  <c:v>79</c:v>
                </c:pt>
              </c:numCache>
            </c:numRef>
          </c:val>
        </c:ser>
        <c:dLbls>
          <c:showVal val="1"/>
        </c:dLbls>
        <c:axId val="89501696"/>
        <c:axId val="89503232"/>
      </c:barChart>
      <c:catAx>
        <c:axId val="89501696"/>
        <c:scaling>
          <c:orientation val="minMax"/>
        </c:scaling>
        <c:axPos val="b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pt-BR" sz="8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89503232"/>
        <c:crosses val="autoZero"/>
        <c:auto val="1"/>
        <c:lblAlgn val="ctr"/>
        <c:lblOffset val="100"/>
      </c:catAx>
      <c:valAx>
        <c:axId val="89503232"/>
        <c:scaling>
          <c:orientation val="minMax"/>
        </c:scaling>
        <c:delete val="1"/>
        <c:axPos val="l"/>
        <c:numFmt formatCode="General" sourceLinked="1"/>
        <c:tickLblPos val="none"/>
        <c:crossAx val="89501696"/>
        <c:crosses val="autoZero"/>
        <c:crossBetween val="between"/>
      </c:valAx>
    </c:plotArea>
    <c:plotVisOnly val="1"/>
    <c:dispBlanksAs val="gap"/>
  </c:chart>
  <c:txPr>
    <a:bodyPr/>
    <a:lstStyle/>
    <a:p>
      <a:pPr>
        <a:defRPr lang="pt-BR"/>
      </a:pPr>
      <a:endParaRPr lang="pt-BR"/>
    </a:p>
  </c:tx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t-BR"/>
  <c:chart>
    <c:title>
      <c:tx>
        <c:rich>
          <a:bodyPr rot="0" spcFirstLastPara="0" vertOverflow="ellipsis" vert="horz" wrap="square" anchor="ctr" anchorCtr="1"/>
          <a:lstStyle/>
          <a:p>
            <a:pPr>
              <a:defRPr lang="pt-BR" sz="18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en-US" baseline="0"/>
              <a:t>Atendimento Ambulatorial </a:t>
            </a:r>
          </a:p>
          <a:p>
            <a:pPr>
              <a:defRPr lang="pt-BR" sz="18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altLang="en-US" baseline="0"/>
              <a:t>Maio</a:t>
            </a:r>
            <a:r>
              <a:rPr lang="en-US" baseline="0"/>
              <a:t> 2019</a:t>
            </a:r>
            <a:endParaRPr lang="en-US"/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Plan1!$B$1</c:f>
              <c:strCache>
                <c:ptCount val="1"/>
                <c:pt idx="0">
                  <c:v>Série 1</c:v>
                </c:pt>
              </c:strCache>
            </c:strRef>
          </c:tx>
          <c:dPt>
            <c:idx val="0"/>
            <c:spPr>
              <a:solidFill>
                <a:srgbClr val="0070C0"/>
              </a:solidFill>
            </c:spPr>
          </c:dPt>
          <c:dPt>
            <c:idx val="1"/>
            <c:spPr>
              <a:solidFill>
                <a:srgbClr val="0070C0"/>
              </a:solidFill>
            </c:spPr>
          </c:dPt>
          <c:dPt>
            <c:idx val="2"/>
            <c:spPr>
              <a:solidFill>
                <a:schemeClr val="tx2">
                  <a:lumMod val="75000"/>
                </a:schemeClr>
              </a:solidFill>
            </c:spPr>
          </c:dPt>
          <c:dPt>
            <c:idx val="3"/>
            <c:spPr>
              <a:solidFill>
                <a:srgbClr val="C00000"/>
              </a:solidFill>
            </c:spPr>
          </c:dPt>
          <c:dLbls>
            <c:numFmt formatCode="#,##0_);[Red]\(#,##0\)" sourceLinked="0"/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pt-BR"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Val val="1"/>
            <c:separator>.</c:separator>
            <c:extLst>
              <c:ext xmlns:c15="http://schemas.microsoft.com/office/drawing/2012/chart" uri="{CE6537A1-D6FC-4f65-9D91-7224C49458BB}">
                <c15:layout/>
                <c15:showLeaderLines val="0"/>
                <c15:leaderLines/>
              </c:ext>
            </c:extLst>
          </c:dLbls>
          <c:cat>
            <c:strRef>
              <c:f>Plan1!$A$2:$A$5</c:f>
              <c:strCache>
                <c:ptCount val="4"/>
                <c:pt idx="0">
                  <c:v>Consultas Médicas </c:v>
                </c:pt>
                <c:pt idx="1">
                  <c:v>Consultas Não Médicas </c:v>
                </c:pt>
                <c:pt idx="2">
                  <c:v>Total </c:v>
                </c:pt>
                <c:pt idx="3">
                  <c:v>Meta Contratual </c:v>
                </c:pt>
              </c:strCache>
            </c:strRef>
          </c:cat>
          <c:val>
            <c:numRef>
              <c:f>Plan1!$B$2:$B$5</c:f>
              <c:numCache>
                <c:formatCode>#.##0</c:formatCode>
                <c:ptCount val="4"/>
                <c:pt idx="0">
                  <c:v>3578</c:v>
                </c:pt>
                <c:pt idx="1">
                  <c:v>299</c:v>
                </c:pt>
                <c:pt idx="2">
                  <c:v>3877</c:v>
                </c:pt>
                <c:pt idx="3">
                  <c:v>3700</c:v>
                </c:pt>
              </c:numCache>
            </c:numRef>
          </c:val>
        </c:ser>
        <c:dLbls>
          <c:showVal val="1"/>
        </c:dLbls>
        <c:axId val="89795968"/>
        <c:axId val="89801856"/>
      </c:barChart>
      <c:catAx>
        <c:axId val="89795968"/>
        <c:scaling>
          <c:orientation val="minMax"/>
        </c:scaling>
        <c:axPos val="b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pt-BR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89801856"/>
        <c:crosses val="autoZero"/>
        <c:auto val="1"/>
        <c:lblAlgn val="ctr"/>
        <c:lblOffset val="100"/>
      </c:catAx>
      <c:valAx>
        <c:axId val="89801856"/>
        <c:scaling>
          <c:orientation val="minMax"/>
        </c:scaling>
        <c:delete val="1"/>
        <c:axPos val="l"/>
        <c:numFmt formatCode="#.##0" sourceLinked="1"/>
        <c:tickLblPos val="none"/>
        <c:crossAx val="89795968"/>
        <c:crosses val="autoZero"/>
        <c:crossBetween val="between"/>
      </c:valAx>
    </c:plotArea>
    <c:plotVisOnly val="1"/>
    <c:dispBlanksAs val="gap"/>
  </c:chart>
  <c:txPr>
    <a:bodyPr/>
    <a:lstStyle/>
    <a:p>
      <a:pPr>
        <a:defRPr lang="pt-BR"/>
      </a:pPr>
      <a:endParaRPr lang="pt-BR"/>
    </a:p>
  </c:txPr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pt-BR"/>
  <c:chart>
    <c:title>
      <c:tx>
        <c:rich>
          <a:bodyPr rot="0" spcFirstLastPara="0" vertOverflow="ellipsis" vert="horz" wrap="square" anchor="ctr" anchorCtr="1"/>
          <a:lstStyle/>
          <a:p>
            <a:pPr>
              <a:defRPr lang="pt-BR" sz="18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en-US" baseline="0"/>
              <a:t>SADT</a:t>
            </a:r>
          </a:p>
          <a:p>
            <a:pPr>
              <a:defRPr lang="pt-BR" sz="18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altLang="en-US" baseline="0"/>
              <a:t>Maio</a:t>
            </a:r>
            <a:r>
              <a:rPr lang="en-US" baseline="0"/>
              <a:t> 2019</a:t>
            </a:r>
            <a:endParaRPr lang="en-US"/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Plan1!$B$1</c:f>
              <c:strCache>
                <c:ptCount val="1"/>
                <c:pt idx="0">
                  <c:v>Série 1</c:v>
                </c:pt>
              </c:strCache>
            </c:strRef>
          </c:tx>
          <c:spPr>
            <a:solidFill>
              <a:srgbClr val="0070C0"/>
            </a:solidFill>
          </c:spPr>
          <c:dLbls>
            <c:numFmt formatCode="#,##0_);[Red]\(#,##0\)" sourceLinked="0"/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pt-BR"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Val val="1"/>
            <c:separator>.</c:separator>
            <c:extLst>
              <c:ext xmlns:c15="http://schemas.microsoft.com/office/drawing/2012/chart" uri="{CE6537A1-D6FC-4f65-9D91-7224C49458BB}">
                <c15:layout/>
                <c15:showLeaderLines val="0"/>
                <c15:leaderLines/>
              </c:ext>
            </c:extLst>
          </c:dLbls>
          <c:cat>
            <c:strRef>
              <c:f>Plan1!$A$2:$A$10</c:f>
              <c:strCache>
                <c:ptCount val="9"/>
                <c:pt idx="0">
                  <c:v>Exames Laboratoriais </c:v>
                </c:pt>
                <c:pt idx="1">
                  <c:v>Exames de Imagem </c:v>
                </c:pt>
                <c:pt idx="2">
                  <c:v>Ecocardiograma </c:v>
                </c:pt>
                <c:pt idx="3">
                  <c:v>Eslastografia Hepática </c:v>
                </c:pt>
                <c:pt idx="4">
                  <c:v>Eletrocardiograma </c:v>
                </c:pt>
                <c:pt idx="5">
                  <c:v>Endoscopia </c:v>
                </c:pt>
                <c:pt idx="6">
                  <c:v>Broncoscopia </c:v>
                </c:pt>
                <c:pt idx="7">
                  <c:v>Colonoscopia </c:v>
                </c:pt>
                <c:pt idx="8">
                  <c:v>Total </c:v>
                </c:pt>
              </c:strCache>
            </c:strRef>
          </c:cat>
          <c:val>
            <c:numRef>
              <c:f>Plan1!$B$2:$B$10</c:f>
              <c:numCache>
                <c:formatCode>#.##0</c:formatCode>
                <c:ptCount val="9"/>
                <c:pt idx="0">
                  <c:v>19600</c:v>
                </c:pt>
                <c:pt idx="1">
                  <c:v>1994</c:v>
                </c:pt>
                <c:pt idx="2" formatCode="General">
                  <c:v>23</c:v>
                </c:pt>
                <c:pt idx="3" formatCode="General">
                  <c:v>0</c:v>
                </c:pt>
                <c:pt idx="4" formatCode="General">
                  <c:v>54</c:v>
                </c:pt>
                <c:pt idx="5" formatCode="General">
                  <c:v>18</c:v>
                </c:pt>
                <c:pt idx="6" formatCode="General">
                  <c:v>1</c:v>
                </c:pt>
                <c:pt idx="7" formatCode="General">
                  <c:v>0</c:v>
                </c:pt>
                <c:pt idx="8">
                  <c:v>21690</c:v>
                </c:pt>
              </c:numCache>
            </c:numRef>
          </c:val>
        </c:ser>
        <c:dLbls>
          <c:showVal val="1"/>
        </c:dLbls>
        <c:axId val="89883008"/>
        <c:axId val="89884544"/>
      </c:barChart>
      <c:catAx>
        <c:axId val="89883008"/>
        <c:scaling>
          <c:orientation val="minMax"/>
        </c:scaling>
        <c:axPos val="b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pt-BR" sz="8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89884544"/>
        <c:crosses val="autoZero"/>
        <c:auto val="1"/>
        <c:lblAlgn val="ctr"/>
        <c:lblOffset val="100"/>
      </c:catAx>
      <c:valAx>
        <c:axId val="89884544"/>
        <c:scaling>
          <c:orientation val="minMax"/>
        </c:scaling>
        <c:delete val="1"/>
        <c:axPos val="l"/>
        <c:numFmt formatCode="#.##0" sourceLinked="1"/>
        <c:tickLblPos val="none"/>
        <c:crossAx val="89883008"/>
        <c:crosses val="autoZero"/>
        <c:crossBetween val="between"/>
      </c:valAx>
    </c:plotArea>
    <c:plotVisOnly val="1"/>
    <c:dispBlanksAs val="gap"/>
  </c:chart>
  <c:txPr>
    <a:bodyPr/>
    <a:lstStyle/>
    <a:p>
      <a:pPr>
        <a:defRPr lang="pt-BR"/>
      </a:pPr>
      <a:endParaRPr lang="pt-BR"/>
    </a:p>
  </c:txPr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pt-BR"/>
  <c:chart>
    <c:title>
      <c:tx>
        <c:rich>
          <a:bodyPr rot="0" spcFirstLastPara="0" vertOverflow="ellipsis" vert="horz" wrap="square" anchor="ctr" anchorCtr="1"/>
          <a:lstStyle/>
          <a:p>
            <a:pPr>
              <a:defRPr lang="pt-BR" sz="18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en-US" baseline="0"/>
              <a:t>Resultados Alcançados x Metas Contratadas </a:t>
            </a:r>
          </a:p>
          <a:p>
            <a:pPr>
              <a:defRPr lang="pt-BR" sz="18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altLang="en-US" baseline="0"/>
              <a:t>Maio</a:t>
            </a:r>
            <a:r>
              <a:rPr lang="en-US" baseline="0"/>
              <a:t> 2019</a:t>
            </a:r>
            <a:endParaRPr lang="en-US"/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Plan1!$B$1</c:f>
              <c:strCache>
                <c:ptCount val="1"/>
                <c:pt idx="0">
                  <c:v>Série 1</c:v>
                </c:pt>
              </c:strCache>
            </c:strRef>
          </c:tx>
          <c:spPr>
            <a:solidFill>
              <a:srgbClr val="0070C0"/>
            </a:solidFill>
          </c:spPr>
          <c:dPt>
            <c:idx val="1"/>
            <c:spPr>
              <a:solidFill>
                <a:srgbClr val="C00000"/>
              </a:solidFill>
            </c:spPr>
          </c:dPt>
          <c:dPt>
            <c:idx val="3"/>
            <c:spPr>
              <a:solidFill>
                <a:srgbClr val="C00000"/>
              </a:solidFill>
            </c:spPr>
          </c:dPt>
          <c:dPt>
            <c:idx val="5"/>
            <c:spPr>
              <a:solidFill>
                <a:srgbClr val="C00000"/>
              </a:solidFill>
            </c:spPr>
          </c:dPt>
          <c:dPt>
            <c:idx val="7"/>
            <c:spPr>
              <a:solidFill>
                <a:srgbClr val="C00000"/>
              </a:solidFill>
            </c:spPr>
          </c:dPt>
          <c:dLbls>
            <c:numFmt formatCode="#,##0_);[Red]\(#,##0\)" sourceLinked="0"/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pt-BR"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  <c15:leaderLines/>
              </c:ext>
            </c:extLst>
          </c:dLbls>
          <c:cat>
            <c:strRef>
              <c:f>Plan1!$A$2:$A$9</c:f>
              <c:strCache>
                <c:ptCount val="8"/>
                <c:pt idx="0">
                  <c:v>Saídas Faturadas </c:v>
                </c:pt>
                <c:pt idx="1">
                  <c:v>Meta Contratada </c:v>
                </c:pt>
                <c:pt idx="2">
                  <c:v>Urgência e Emergência </c:v>
                </c:pt>
                <c:pt idx="3">
                  <c:v>Meta Contratada </c:v>
                </c:pt>
                <c:pt idx="4">
                  <c:v>Hospital Dia </c:v>
                </c:pt>
                <c:pt idx="5">
                  <c:v>Meta Contratada </c:v>
                </c:pt>
                <c:pt idx="6">
                  <c:v>Ambulatório </c:v>
                </c:pt>
                <c:pt idx="7">
                  <c:v>Meta Contratada </c:v>
                </c:pt>
              </c:strCache>
            </c:strRef>
          </c:cat>
          <c:val>
            <c:numRef>
              <c:f>Plan1!$B$2:$B$9</c:f>
              <c:numCache>
                <c:formatCode>0</c:formatCode>
                <c:ptCount val="8"/>
                <c:pt idx="0">
                  <c:v>328</c:v>
                </c:pt>
                <c:pt idx="1">
                  <c:v>200</c:v>
                </c:pt>
                <c:pt idx="2">
                  <c:v>837</c:v>
                </c:pt>
                <c:pt idx="3">
                  <c:v>750</c:v>
                </c:pt>
                <c:pt idx="4">
                  <c:v>270</c:v>
                </c:pt>
                <c:pt idx="5">
                  <c:v>100</c:v>
                </c:pt>
                <c:pt idx="6" formatCode="#.##0">
                  <c:v>3877</c:v>
                </c:pt>
                <c:pt idx="7" formatCode="#.##0">
                  <c:v>3700</c:v>
                </c:pt>
              </c:numCache>
            </c:numRef>
          </c:val>
        </c:ser>
        <c:dLbls>
          <c:showVal val="1"/>
        </c:dLbls>
        <c:axId val="89951232"/>
        <c:axId val="89957120"/>
      </c:barChart>
      <c:catAx>
        <c:axId val="89951232"/>
        <c:scaling>
          <c:orientation val="minMax"/>
        </c:scaling>
        <c:axPos val="b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pt-BR" sz="8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89957120"/>
        <c:crosses val="autoZero"/>
        <c:auto val="1"/>
        <c:lblAlgn val="ctr"/>
        <c:lblOffset val="100"/>
      </c:catAx>
      <c:valAx>
        <c:axId val="89957120"/>
        <c:scaling>
          <c:orientation val="minMax"/>
        </c:scaling>
        <c:delete val="1"/>
        <c:axPos val="l"/>
        <c:numFmt formatCode="0" sourceLinked="1"/>
        <c:tickLblPos val="none"/>
        <c:crossAx val="89951232"/>
        <c:crosses val="autoZero"/>
        <c:crossBetween val="between"/>
      </c:valAx>
    </c:plotArea>
    <c:plotVisOnly val="1"/>
    <c:dispBlanksAs val="gap"/>
  </c:chart>
  <c:txPr>
    <a:bodyPr/>
    <a:lstStyle/>
    <a:p>
      <a:pPr>
        <a:defRPr lang="pt-BR"/>
      </a:pPr>
      <a:endParaRPr lang="pt-BR"/>
    </a:p>
  </c:txPr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pt-BR"/>
  <c:chart>
    <c:title>
      <c:tx>
        <c:rich>
          <a:bodyPr rot="0" spcFirstLastPara="0" vertOverflow="ellipsis" vert="horz" wrap="square" anchor="ctr" anchorCtr="1"/>
          <a:lstStyle/>
          <a:p>
            <a:pPr>
              <a:defRPr lang="pt-BR" sz="18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en-US" baseline="0"/>
              <a:t>Taxa de Ocupação Hospitalar</a:t>
            </a:r>
          </a:p>
          <a:p>
            <a:pPr>
              <a:defRPr lang="pt-BR" sz="18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altLang="en-US" baseline="0"/>
              <a:t>Maio</a:t>
            </a:r>
            <a:r>
              <a:rPr lang="en-US" baseline="0"/>
              <a:t> 2019</a:t>
            </a:r>
            <a:endParaRPr lang="en-US"/>
          </a:p>
        </c:rich>
      </c:tx>
      <c:layout>
        <c:manualLayout>
          <c:xMode val="edge"/>
          <c:yMode val="edge"/>
          <c:x val="0.17571743929359812"/>
          <c:y val="3.7113402061855726E-2"/>
        </c:manualLayout>
      </c:layout>
    </c:title>
    <c:plotArea>
      <c:layout/>
      <c:barChart>
        <c:barDir val="col"/>
        <c:grouping val="clustered"/>
        <c:ser>
          <c:idx val="0"/>
          <c:order val="0"/>
          <c:tx>
            <c:strRef>
              <c:f>Plan1!$B$1</c:f>
              <c:strCache>
                <c:ptCount val="1"/>
                <c:pt idx="0">
                  <c:v>Série 1</c:v>
                </c:pt>
              </c:strCache>
            </c:strRef>
          </c:tx>
          <c:spPr>
            <a:solidFill>
              <a:srgbClr val="0070C0"/>
            </a:solidFill>
          </c:spPr>
          <c:dPt>
            <c:idx val="1"/>
            <c:spPr>
              <a:solidFill>
                <a:srgbClr val="C00000"/>
              </a:solidFill>
            </c:spPr>
          </c:dPt>
          <c:dLbls>
            <c:dLbl>
              <c:idx val="0"/>
              <c:tx>
                <c:rich>
                  <a:bodyPr rot="0" spcFirstLastPara="0" vertOverflow="ellipsis" vert="horz" wrap="square" lIns="38100" tIns="19050" rIns="38100" bIns="19050" anchor="ctr" anchorCtr="1"/>
                  <a:lstStyle/>
                  <a:p>
                    <a:pPr defTabSz="914400">
                      <a:defRPr lang="pt-BR" sz="1000" b="0" i="0" u="none" strike="noStrike" kern="1200" baseline="0">
                        <a:solidFill>
                          <a:schemeClr val="tx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t>96%</a:t>
                    </a:r>
                  </a:p>
                </c:rich>
              </c:tx>
              <c:numFmt formatCode="00%" sourceLinked="0"/>
              <c:spPr>
                <a:noFill/>
                <a:ln>
                  <a:noFill/>
                </a:ln>
                <a:effectLst/>
              </c:spPr>
              <c:dLblPos val="outEnd"/>
              <c:showVal val="1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0991905813097866"/>
                      <c:h val="0.103780068728522"/>
                    </c:manualLayout>
                  </c15:layout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pt-BR"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Val val="1"/>
            <c:separator>
</c:separator>
            <c:extLst>
              <c:ext xmlns:c15="http://schemas.microsoft.com/office/drawing/2012/chart" uri="{CE6537A1-D6FC-4f65-9D91-7224C49458BB}">
                <c15:layout/>
                <c15:showLeaderLines val="0"/>
                <c15:leaderLines/>
              </c:ext>
            </c:extLst>
          </c:dLbls>
          <c:cat>
            <c:strRef>
              <c:f>Plan1!$A$2:$A$3</c:f>
              <c:strCache>
                <c:ptCount val="2"/>
                <c:pt idx="0">
                  <c:v>Taxa de Ocupação </c:v>
                </c:pt>
                <c:pt idx="1">
                  <c:v>Meta Contratual </c:v>
                </c:pt>
              </c:strCache>
            </c:strRef>
          </c:cat>
          <c:val>
            <c:numRef>
              <c:f>Plan1!$B$2:$B$3</c:f>
              <c:numCache>
                <c:formatCode>0%</c:formatCode>
                <c:ptCount val="2"/>
                <c:pt idx="0">
                  <c:v>0.9600000000000003</c:v>
                </c:pt>
                <c:pt idx="1">
                  <c:v>0.85000000000000031</c:v>
                </c:pt>
              </c:numCache>
            </c:numRef>
          </c:val>
        </c:ser>
        <c:dLbls>
          <c:showVal val="1"/>
        </c:dLbls>
        <c:axId val="89981696"/>
        <c:axId val="89983232"/>
      </c:barChart>
      <c:catAx>
        <c:axId val="89981696"/>
        <c:scaling>
          <c:orientation val="minMax"/>
        </c:scaling>
        <c:axPos val="b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pt-BR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89983232"/>
        <c:crosses val="autoZero"/>
        <c:auto val="1"/>
        <c:lblAlgn val="ctr"/>
        <c:lblOffset val="100"/>
      </c:catAx>
      <c:valAx>
        <c:axId val="89983232"/>
        <c:scaling>
          <c:orientation val="minMax"/>
        </c:scaling>
        <c:delete val="1"/>
        <c:axPos val="l"/>
        <c:numFmt formatCode="0%" sourceLinked="1"/>
        <c:tickLblPos val="none"/>
        <c:crossAx val="89981696"/>
        <c:crosses val="autoZero"/>
        <c:crossBetween val="between"/>
      </c:valAx>
    </c:plotArea>
    <c:plotVisOnly val="1"/>
    <c:dispBlanksAs val="gap"/>
  </c:chart>
  <c:txPr>
    <a:bodyPr/>
    <a:lstStyle/>
    <a:p>
      <a:pPr>
        <a:defRPr lang="pt-BR"/>
      </a:pPr>
      <a:endParaRPr lang="pt-BR"/>
    </a:p>
  </c:txPr>
  <c:externalData r:id="rId1"/>
</c:chartSpace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911DCD3-DBD8-4BD9-BD31-57372FBA34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19</Pages>
  <Words>2460</Words>
  <Characters>13286</Characters>
  <Application>Microsoft Office Word</Application>
  <DocSecurity>0</DocSecurity>
  <Lines>110</Lines>
  <Paragraphs>31</Paragraphs>
  <ScaleCrop>false</ScaleCrop>
  <Company>GOL Linhas Aereas Inteligentes</Company>
  <LinksUpToDate>false</LinksUpToDate>
  <CharactersWithSpaces>15715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camilacrac</cp:lastModifiedBy>
  <cp:revision>35</cp:revision>
  <cp:lastPrinted>2019-10-15T20:20:00Z</cp:lastPrinted>
  <dcterms:created xsi:type="dcterms:W3CDTF">2020-07-03T18:22:00Z</dcterms:created>
  <dcterms:modified xsi:type="dcterms:W3CDTF">2020-07-08T16:51:00Z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1046-11.2.0.9144</vt:lpwstr>
  </property>
</Properties>
</file>