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EE116A"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76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DF443E" w:rsidRPr="00652B09" w:rsidRDefault="00DF443E" w:rsidP="00652B09">
                  <w:pPr>
                    <w:jc w:val="center"/>
                    <w:rPr>
                      <w:rFonts w:ascii="Arial" w:hAnsi="Arial" w:cs="Arial"/>
                      <w:b/>
                      <w:sz w:val="36"/>
                      <w:szCs w:val="36"/>
                    </w:rPr>
                  </w:pPr>
                  <w:r>
                    <w:rPr>
                      <w:rFonts w:ascii="Arial" w:hAnsi="Arial" w:cs="Arial"/>
                      <w:b/>
                      <w:sz w:val="36"/>
                      <w:szCs w:val="36"/>
                    </w:rPr>
                    <w:t>11</w:t>
                  </w:r>
                  <w:r w:rsidRPr="00652B09">
                    <w:rPr>
                      <w:rFonts w:ascii="Arial" w:hAnsi="Arial" w:cs="Arial"/>
                      <w:b/>
                      <w:sz w:val="36"/>
                      <w:szCs w:val="36"/>
                    </w:rPr>
                    <w:t>º Termo Aditivo ao Contrato de Gestão nº091/2012</w:t>
                  </w:r>
                </w:p>
                <w:p w:rsidR="00DF443E" w:rsidRDefault="00DF443E">
                  <w:pPr>
                    <w:rPr>
                      <w:rFonts w:ascii="Arial" w:hAnsi="Arial" w:cs="Arial"/>
                      <w:sz w:val="36"/>
                      <w:szCs w:val="36"/>
                    </w:rPr>
                  </w:pPr>
                </w:p>
                <w:p w:rsidR="00DF443E" w:rsidRDefault="00DF443E">
                  <w:pPr>
                    <w:rPr>
                      <w:rFonts w:ascii="Arial" w:hAnsi="Arial" w:cs="Arial"/>
                      <w:sz w:val="36"/>
                      <w:szCs w:val="36"/>
                    </w:rPr>
                  </w:pPr>
                </w:p>
                <w:p w:rsidR="00DF443E" w:rsidRPr="002F5143" w:rsidRDefault="00DF443E"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DF443E" w:rsidRPr="00652B09" w:rsidRDefault="00DF443E">
                  <w:pPr>
                    <w:rPr>
                      <w:rFonts w:ascii="Arial" w:hAnsi="Arial" w:cs="Arial"/>
                      <w:sz w:val="36"/>
                      <w:szCs w:val="36"/>
                    </w:rPr>
                  </w:pPr>
                </w:p>
                <w:p w:rsidR="00DF443E" w:rsidRDefault="00DF443E">
                  <w:pPr>
                    <w:rPr>
                      <w:rFonts w:ascii="Arial" w:hAnsi="Arial" w:cs="Arial"/>
                      <w:sz w:val="36"/>
                      <w:szCs w:val="36"/>
                    </w:rPr>
                  </w:pPr>
                </w:p>
                <w:p w:rsidR="00DF443E" w:rsidRPr="00652B09" w:rsidRDefault="00D83908" w:rsidP="00652B09">
                  <w:pPr>
                    <w:jc w:val="center"/>
                    <w:rPr>
                      <w:rFonts w:ascii="Arial" w:hAnsi="Arial" w:cs="Arial"/>
                      <w:sz w:val="36"/>
                      <w:szCs w:val="36"/>
                    </w:rPr>
                  </w:pPr>
                  <w:r>
                    <w:rPr>
                      <w:rFonts w:ascii="Arial" w:hAnsi="Arial" w:cs="Arial"/>
                      <w:sz w:val="36"/>
                      <w:szCs w:val="36"/>
                    </w:rPr>
                    <w:t>Referência: Agosto</w:t>
                  </w:r>
                  <w:r w:rsidR="00DF443E">
                    <w:rPr>
                      <w:rFonts w:ascii="Arial" w:hAnsi="Arial" w:cs="Arial"/>
                      <w:sz w:val="36"/>
                      <w:szCs w:val="36"/>
                    </w:rPr>
                    <w:t xml:space="preserve"> de 2019</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Roger Moreira – CRM-GO: 19550</w:t>
      </w:r>
      <w:r w:rsidR="00B869B0" w:rsidRPr="006B5F47">
        <w:rPr>
          <w:rFonts w:ascii="Arial" w:hAnsi="Arial" w:cs="Arial"/>
          <w:color w:val="000000" w:themeColor="text1"/>
          <w:sz w:val="28"/>
          <w:szCs w:val="28"/>
        </w:rPr>
        <w:t xml:space="preserve"> </w:t>
      </w: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Default="005007D4" w:rsidP="00B869B0">
      <w:pPr>
        <w:spacing w:after="0" w:line="360" w:lineRule="auto"/>
        <w:rPr>
          <w:rFonts w:ascii="Arial" w:hAnsi="Arial" w:cs="Arial"/>
          <w:color w:val="000000" w:themeColor="text1"/>
          <w:sz w:val="28"/>
          <w:szCs w:val="28"/>
        </w:rPr>
      </w:pPr>
      <w:r>
        <w:rPr>
          <w:rFonts w:ascii="Arial" w:eastAsia="Calibri" w:hAnsi="Arial" w:cs="Arial"/>
          <w:bCs/>
          <w:sz w:val="28"/>
          <w:szCs w:val="28"/>
        </w:rPr>
        <w:t xml:space="preserve">Letícia Aires </w:t>
      </w:r>
      <w:r w:rsidR="00D61557" w:rsidRPr="006B5F47">
        <w:rPr>
          <w:rFonts w:ascii="Arial" w:hAnsi="Arial" w:cs="Arial"/>
          <w:color w:val="000000" w:themeColor="text1"/>
          <w:sz w:val="28"/>
          <w:szCs w:val="28"/>
        </w:rPr>
        <w:t xml:space="preserve">– CRM-GO: </w:t>
      </w:r>
      <w:r>
        <w:rPr>
          <w:rFonts w:ascii="Arial" w:hAnsi="Arial" w:cs="Arial"/>
          <w:color w:val="000000" w:themeColor="text1"/>
          <w:sz w:val="28"/>
          <w:szCs w:val="28"/>
        </w:rPr>
        <w:t>6063</w:t>
      </w:r>
    </w:p>
    <w:p w:rsidR="005007D4" w:rsidRDefault="005007D4" w:rsidP="00B869B0">
      <w:pPr>
        <w:spacing w:after="0" w:line="360" w:lineRule="auto"/>
        <w:rPr>
          <w:rFonts w:ascii="Arial" w:hAnsi="Arial" w:cs="Arial"/>
          <w:color w:val="000000" w:themeColor="text1"/>
          <w:sz w:val="28"/>
          <w:szCs w:val="28"/>
        </w:rPr>
      </w:pPr>
    </w:p>
    <w:p w:rsidR="005007D4" w:rsidRPr="005007D4" w:rsidRDefault="005007D4" w:rsidP="00B869B0">
      <w:pPr>
        <w:spacing w:after="0" w:line="360" w:lineRule="auto"/>
        <w:rPr>
          <w:rFonts w:ascii="Arial" w:hAnsi="Arial" w:cs="Arial"/>
          <w:b/>
          <w:color w:val="000000" w:themeColor="text1"/>
          <w:sz w:val="28"/>
          <w:szCs w:val="28"/>
        </w:rPr>
      </w:pPr>
      <w:r w:rsidRPr="005007D4">
        <w:rPr>
          <w:rFonts w:ascii="Arial" w:hAnsi="Arial" w:cs="Arial"/>
          <w:b/>
          <w:color w:val="000000" w:themeColor="text1"/>
          <w:sz w:val="28"/>
          <w:szCs w:val="28"/>
        </w:rPr>
        <w:t xml:space="preserve">Diretora de Ensino e Pesquisa </w:t>
      </w:r>
    </w:p>
    <w:p w:rsidR="005007D4" w:rsidRPr="006B5F47" w:rsidRDefault="005007D4" w:rsidP="00B869B0">
      <w:pPr>
        <w:spacing w:after="0" w:line="360" w:lineRule="auto"/>
        <w:rPr>
          <w:rFonts w:ascii="Arial" w:hAnsi="Arial" w:cs="Arial"/>
          <w:color w:val="000000" w:themeColor="text1"/>
          <w:sz w:val="28"/>
          <w:szCs w:val="28"/>
        </w:rPr>
      </w:pPr>
      <w:r>
        <w:rPr>
          <w:rFonts w:ascii="Arial" w:hAnsi="Arial" w:cs="Arial"/>
          <w:color w:val="000000" w:themeColor="text1"/>
          <w:sz w:val="28"/>
          <w:szCs w:val="28"/>
        </w:rPr>
        <w:t xml:space="preserve">Marília Dalva </w:t>
      </w:r>
      <w:proofErr w:type="spellStart"/>
      <w:r>
        <w:rPr>
          <w:rFonts w:ascii="Arial" w:hAnsi="Arial" w:cs="Arial"/>
          <w:color w:val="000000" w:themeColor="text1"/>
          <w:sz w:val="28"/>
          <w:szCs w:val="28"/>
        </w:rPr>
        <w:t>Turchi</w:t>
      </w:r>
      <w:proofErr w:type="spellEnd"/>
      <w:r>
        <w:rPr>
          <w:rFonts w:ascii="Arial" w:hAnsi="Arial" w:cs="Arial"/>
          <w:color w:val="000000" w:themeColor="text1"/>
          <w:sz w:val="28"/>
          <w:szCs w:val="28"/>
        </w:rPr>
        <w:t xml:space="preserve"> </w:t>
      </w:r>
      <w:r w:rsidRPr="006B5F47">
        <w:rPr>
          <w:rFonts w:ascii="Arial" w:hAnsi="Arial" w:cs="Arial"/>
          <w:color w:val="000000" w:themeColor="text1"/>
          <w:sz w:val="28"/>
          <w:szCs w:val="28"/>
        </w:rPr>
        <w:t xml:space="preserve">– CRM-GO: </w:t>
      </w:r>
      <w:r>
        <w:rPr>
          <w:rFonts w:ascii="Arial" w:hAnsi="Arial" w:cs="Arial"/>
          <w:color w:val="000000" w:themeColor="text1"/>
          <w:sz w:val="28"/>
          <w:szCs w:val="28"/>
        </w:rPr>
        <w:t>4131</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2F5143" w:rsidRDefault="00EE116A">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44681915" w:history="1">
            <w:r w:rsidR="002F5143" w:rsidRPr="00C0357C">
              <w:rPr>
                <w:rStyle w:val="Hyperlink"/>
                <w:rFonts w:ascii="Arial" w:hAnsi="Arial" w:cs="Arial"/>
                <w:noProof/>
              </w:rPr>
              <w:t>NOSSA HISTÓRIA</w:t>
            </w:r>
            <w:r w:rsidR="002F5143">
              <w:rPr>
                <w:noProof/>
                <w:webHidden/>
              </w:rPr>
              <w:tab/>
            </w:r>
            <w:r>
              <w:rPr>
                <w:noProof/>
                <w:webHidden/>
              </w:rPr>
              <w:fldChar w:fldCharType="begin"/>
            </w:r>
            <w:r w:rsidR="002F5143">
              <w:rPr>
                <w:noProof/>
                <w:webHidden/>
              </w:rPr>
              <w:instrText xml:space="preserve"> PAGEREF _Toc44681915 \h </w:instrText>
            </w:r>
            <w:r>
              <w:rPr>
                <w:noProof/>
                <w:webHidden/>
              </w:rPr>
            </w:r>
            <w:r>
              <w:rPr>
                <w:noProof/>
                <w:webHidden/>
              </w:rPr>
              <w:fldChar w:fldCharType="separate"/>
            </w:r>
            <w:r w:rsidR="00A45846">
              <w:rPr>
                <w:noProof/>
                <w:webHidden/>
              </w:rPr>
              <w:t>3</w:t>
            </w:r>
            <w:r>
              <w:rPr>
                <w:noProof/>
                <w:webHidden/>
              </w:rPr>
              <w:fldChar w:fldCharType="end"/>
            </w:r>
          </w:hyperlink>
        </w:p>
        <w:p w:rsidR="002F5143" w:rsidRDefault="00EE116A">
          <w:pPr>
            <w:pStyle w:val="Sumrio1"/>
            <w:tabs>
              <w:tab w:val="right" w:leader="dot" w:pos="9061"/>
            </w:tabs>
            <w:rPr>
              <w:rFonts w:eastAsiaTheme="minorEastAsia"/>
              <w:noProof/>
              <w:lang w:eastAsia="pt-BR"/>
            </w:rPr>
          </w:pPr>
          <w:hyperlink w:anchor="_Toc44681916" w:history="1">
            <w:r w:rsidR="002F5143" w:rsidRPr="00C0357C">
              <w:rPr>
                <w:rStyle w:val="Hyperlink"/>
                <w:rFonts w:ascii="Arial" w:hAnsi="Arial" w:cs="Arial"/>
                <w:noProof/>
              </w:rPr>
              <w:t>MISSÃO, VISÃO E VALORES</w:t>
            </w:r>
            <w:r w:rsidR="002F5143">
              <w:rPr>
                <w:noProof/>
                <w:webHidden/>
              </w:rPr>
              <w:tab/>
            </w:r>
            <w:r>
              <w:rPr>
                <w:noProof/>
                <w:webHidden/>
              </w:rPr>
              <w:fldChar w:fldCharType="begin"/>
            </w:r>
            <w:r w:rsidR="002F5143">
              <w:rPr>
                <w:noProof/>
                <w:webHidden/>
              </w:rPr>
              <w:instrText xml:space="preserve"> PAGEREF _Toc44681916 \h </w:instrText>
            </w:r>
            <w:r>
              <w:rPr>
                <w:noProof/>
                <w:webHidden/>
              </w:rPr>
            </w:r>
            <w:r>
              <w:rPr>
                <w:noProof/>
                <w:webHidden/>
              </w:rPr>
              <w:fldChar w:fldCharType="separate"/>
            </w:r>
            <w:r w:rsidR="00A45846">
              <w:rPr>
                <w:noProof/>
                <w:webHidden/>
              </w:rPr>
              <w:t>4</w:t>
            </w:r>
            <w:r>
              <w:rPr>
                <w:noProof/>
                <w:webHidden/>
              </w:rPr>
              <w:fldChar w:fldCharType="end"/>
            </w:r>
          </w:hyperlink>
        </w:p>
        <w:p w:rsidR="002F5143" w:rsidRDefault="00EE116A">
          <w:pPr>
            <w:pStyle w:val="Sumrio1"/>
            <w:tabs>
              <w:tab w:val="right" w:leader="dot" w:pos="9061"/>
            </w:tabs>
            <w:rPr>
              <w:rFonts w:eastAsiaTheme="minorEastAsia"/>
              <w:noProof/>
              <w:lang w:eastAsia="pt-BR"/>
            </w:rPr>
          </w:pPr>
          <w:hyperlink w:anchor="_Toc44681917" w:history="1">
            <w:r w:rsidR="002F5143" w:rsidRPr="00C0357C">
              <w:rPr>
                <w:rStyle w:val="Hyperlink"/>
                <w:rFonts w:ascii="Arial" w:hAnsi="Arial" w:cs="Arial"/>
                <w:noProof/>
              </w:rPr>
              <w:t>SERVIÇOS</w:t>
            </w:r>
            <w:r w:rsidR="002F5143">
              <w:rPr>
                <w:noProof/>
                <w:webHidden/>
              </w:rPr>
              <w:tab/>
            </w:r>
            <w:r>
              <w:rPr>
                <w:noProof/>
                <w:webHidden/>
              </w:rPr>
              <w:fldChar w:fldCharType="begin"/>
            </w:r>
            <w:r w:rsidR="002F5143">
              <w:rPr>
                <w:noProof/>
                <w:webHidden/>
              </w:rPr>
              <w:instrText xml:space="preserve"> PAGEREF _Toc44681917 \h </w:instrText>
            </w:r>
            <w:r>
              <w:rPr>
                <w:noProof/>
                <w:webHidden/>
              </w:rPr>
            </w:r>
            <w:r>
              <w:rPr>
                <w:noProof/>
                <w:webHidden/>
              </w:rPr>
              <w:fldChar w:fldCharType="separate"/>
            </w:r>
            <w:r w:rsidR="00A45846">
              <w:rPr>
                <w:noProof/>
                <w:webHidden/>
              </w:rPr>
              <w:t>5</w:t>
            </w:r>
            <w:r>
              <w:rPr>
                <w:noProof/>
                <w:webHidden/>
              </w:rPr>
              <w:fldChar w:fldCharType="end"/>
            </w:r>
          </w:hyperlink>
        </w:p>
        <w:p w:rsidR="002F5143" w:rsidRDefault="00EE116A">
          <w:pPr>
            <w:pStyle w:val="Sumrio1"/>
            <w:tabs>
              <w:tab w:val="right" w:leader="dot" w:pos="9061"/>
            </w:tabs>
            <w:rPr>
              <w:rFonts w:eastAsiaTheme="minorEastAsia"/>
              <w:noProof/>
              <w:lang w:eastAsia="pt-BR"/>
            </w:rPr>
          </w:pPr>
          <w:hyperlink w:anchor="_Toc44681918" w:history="1">
            <w:r w:rsidR="002F5143" w:rsidRPr="002F5143">
              <w:rPr>
                <w:rStyle w:val="Hyperlink"/>
                <w:rFonts w:ascii="Arial" w:hAnsi="Arial" w:cs="Arial"/>
                <w:noProof/>
              </w:rPr>
              <w:t>ATIVIDADES REALIZADAS</w:t>
            </w:r>
            <w:r w:rsidR="002F5143">
              <w:rPr>
                <w:noProof/>
                <w:webHidden/>
              </w:rPr>
              <w:tab/>
            </w:r>
            <w:r>
              <w:rPr>
                <w:noProof/>
                <w:webHidden/>
              </w:rPr>
              <w:fldChar w:fldCharType="begin"/>
            </w:r>
            <w:r w:rsidR="002F5143">
              <w:rPr>
                <w:noProof/>
                <w:webHidden/>
              </w:rPr>
              <w:instrText xml:space="preserve"> PAGEREF _Toc44681918 \h </w:instrText>
            </w:r>
            <w:r>
              <w:rPr>
                <w:noProof/>
                <w:webHidden/>
              </w:rPr>
            </w:r>
            <w:r>
              <w:rPr>
                <w:noProof/>
                <w:webHidden/>
              </w:rPr>
              <w:fldChar w:fldCharType="separate"/>
            </w:r>
            <w:r w:rsidR="00A45846">
              <w:rPr>
                <w:noProof/>
                <w:webHidden/>
              </w:rPr>
              <w:t>7</w:t>
            </w:r>
            <w:r>
              <w:rPr>
                <w:noProof/>
                <w:webHidden/>
              </w:rPr>
              <w:fldChar w:fldCharType="end"/>
            </w:r>
          </w:hyperlink>
        </w:p>
        <w:p w:rsidR="002F5143" w:rsidRDefault="00EE116A">
          <w:pPr>
            <w:pStyle w:val="Sumrio1"/>
            <w:tabs>
              <w:tab w:val="right" w:leader="dot" w:pos="9061"/>
            </w:tabs>
            <w:rPr>
              <w:rFonts w:eastAsiaTheme="minorEastAsia"/>
              <w:noProof/>
              <w:lang w:eastAsia="pt-BR"/>
            </w:rPr>
          </w:pPr>
          <w:hyperlink w:anchor="_Toc44681919" w:history="1">
            <w:r w:rsidR="002F5143" w:rsidRPr="00C0357C">
              <w:rPr>
                <w:rStyle w:val="Hyperlink"/>
                <w:rFonts w:ascii="Arial" w:hAnsi="Arial" w:cs="Arial"/>
                <w:noProof/>
              </w:rPr>
              <w:t>METAS DE PRODUÇÃO SEMESTRAL E RESULTADOS ALCANÇADOS</w:t>
            </w:r>
            <w:r w:rsidR="002F5143">
              <w:rPr>
                <w:noProof/>
                <w:webHidden/>
              </w:rPr>
              <w:tab/>
            </w:r>
            <w:r>
              <w:rPr>
                <w:noProof/>
                <w:webHidden/>
              </w:rPr>
              <w:fldChar w:fldCharType="begin"/>
            </w:r>
            <w:r w:rsidR="002F5143">
              <w:rPr>
                <w:noProof/>
                <w:webHidden/>
              </w:rPr>
              <w:instrText xml:space="preserve"> PAGEREF _Toc44681919 \h </w:instrText>
            </w:r>
            <w:r>
              <w:rPr>
                <w:noProof/>
                <w:webHidden/>
              </w:rPr>
            </w:r>
            <w:r>
              <w:rPr>
                <w:noProof/>
                <w:webHidden/>
              </w:rPr>
              <w:fldChar w:fldCharType="separate"/>
            </w:r>
            <w:r w:rsidR="00A45846">
              <w:rPr>
                <w:noProof/>
                <w:webHidden/>
              </w:rPr>
              <w:t>14</w:t>
            </w:r>
            <w:r>
              <w:rPr>
                <w:noProof/>
                <w:webHidden/>
              </w:rPr>
              <w:fldChar w:fldCharType="end"/>
            </w:r>
          </w:hyperlink>
        </w:p>
        <w:p w:rsidR="002F5143" w:rsidRDefault="00EE116A">
          <w:pPr>
            <w:pStyle w:val="Sumrio1"/>
            <w:tabs>
              <w:tab w:val="right" w:leader="dot" w:pos="9061"/>
            </w:tabs>
            <w:rPr>
              <w:rFonts w:eastAsiaTheme="minorEastAsia"/>
              <w:noProof/>
              <w:lang w:eastAsia="pt-BR"/>
            </w:rPr>
          </w:pPr>
          <w:hyperlink w:anchor="_Toc44681920" w:history="1">
            <w:r w:rsidR="002F5143" w:rsidRPr="00C0357C">
              <w:rPr>
                <w:rStyle w:val="Hyperlink"/>
                <w:rFonts w:ascii="Arial" w:hAnsi="Arial" w:cs="Arial"/>
                <w:noProof/>
              </w:rPr>
              <w:t>AÇÕES E ATIVIDADES</w:t>
            </w:r>
            <w:r w:rsidR="002F5143">
              <w:rPr>
                <w:noProof/>
                <w:webHidden/>
              </w:rPr>
              <w:tab/>
            </w:r>
            <w:r>
              <w:rPr>
                <w:noProof/>
                <w:webHidden/>
              </w:rPr>
              <w:fldChar w:fldCharType="begin"/>
            </w:r>
            <w:r w:rsidR="002F5143">
              <w:rPr>
                <w:noProof/>
                <w:webHidden/>
              </w:rPr>
              <w:instrText xml:space="preserve"> PAGEREF _Toc44681920 \h </w:instrText>
            </w:r>
            <w:r>
              <w:rPr>
                <w:noProof/>
                <w:webHidden/>
              </w:rPr>
            </w:r>
            <w:r>
              <w:rPr>
                <w:noProof/>
                <w:webHidden/>
              </w:rPr>
              <w:fldChar w:fldCharType="separate"/>
            </w:r>
            <w:r w:rsidR="00A45846">
              <w:rPr>
                <w:noProof/>
                <w:webHidden/>
              </w:rPr>
              <w:t>21</w:t>
            </w:r>
            <w:r>
              <w:rPr>
                <w:noProof/>
                <w:webHidden/>
              </w:rPr>
              <w:fldChar w:fldCharType="end"/>
            </w:r>
          </w:hyperlink>
        </w:p>
        <w:p w:rsidR="007F6363" w:rsidRPr="006B5F47" w:rsidRDefault="00EE116A">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44681915"/>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A3FA9" w:rsidP="00B869B0">
      <w:pPr>
        <w:spacing w:after="0" w:line="360" w:lineRule="auto"/>
        <w:ind w:firstLine="708"/>
        <w:jc w:val="both"/>
        <w:rPr>
          <w:rFonts w:ascii="Arial" w:hAnsi="Arial" w:cs="Arial"/>
          <w:color w:val="000000" w:themeColor="text1"/>
          <w:sz w:val="24"/>
          <w:szCs w:val="24"/>
          <w:shd w:val="clear" w:color="auto" w:fill="FFFFFF"/>
        </w:rPr>
      </w:pPr>
      <w:r w:rsidRPr="003A3FA9">
        <w:rPr>
          <w:rFonts w:ascii="Arial" w:hAnsi="Arial" w:cs="Arial"/>
          <w:sz w:val="24"/>
          <w:szCs w:val="24"/>
        </w:rPr>
        <w:t xml:space="preserve">O HDT é uma unidade Terciaria de assistência à saúde de alta complexidade, sendo o perfil especializado em assistência aos portadores de doenças </w:t>
      </w:r>
      <w:proofErr w:type="spellStart"/>
      <w:r w:rsidRPr="003A3FA9">
        <w:rPr>
          <w:rFonts w:ascii="Arial" w:hAnsi="Arial" w:cs="Arial"/>
          <w:sz w:val="24"/>
          <w:szCs w:val="24"/>
        </w:rPr>
        <w:t>incto-contagiosas</w:t>
      </w:r>
      <w:proofErr w:type="spellEnd"/>
      <w:r w:rsidRPr="003A3FA9">
        <w:rPr>
          <w:rFonts w:ascii="Arial" w:hAnsi="Arial" w:cs="Arial"/>
          <w:sz w:val="24"/>
          <w:szCs w:val="24"/>
        </w:rPr>
        <w:t xml:space="preserve">, dermatológicas, meningites, Profilaxia Pós-Exposição – </w:t>
      </w:r>
      <w:proofErr w:type="spellStart"/>
      <w:proofErr w:type="gramStart"/>
      <w:r w:rsidRPr="003A3FA9">
        <w:rPr>
          <w:rFonts w:ascii="Arial" w:hAnsi="Arial" w:cs="Arial"/>
          <w:sz w:val="24"/>
          <w:szCs w:val="24"/>
        </w:rPr>
        <w:t>PrEP</w:t>
      </w:r>
      <w:proofErr w:type="spellEnd"/>
      <w:proofErr w:type="gramEnd"/>
      <w:r w:rsidRPr="003A3FA9">
        <w:rPr>
          <w:rFonts w:ascii="Arial" w:hAnsi="Arial" w:cs="Arial"/>
          <w:sz w:val="24"/>
          <w:szCs w:val="24"/>
        </w:rPr>
        <w:t xml:space="preserve">, e vítimas de acidentes por animais peçonhentos, que são encaminhados a unidade via Central de Regulação do município de Goiânia. Atende ainda por demanda espontânea pacientes com HIV/AIDS (que estão em tratamento na unidade), vítimas de acidentes por animais peçonhentos e </w:t>
      </w:r>
      <w:proofErr w:type="spellStart"/>
      <w:proofErr w:type="gramStart"/>
      <w:r w:rsidRPr="003A3FA9">
        <w:rPr>
          <w:rFonts w:ascii="Arial" w:hAnsi="Arial" w:cs="Arial"/>
          <w:sz w:val="24"/>
          <w:szCs w:val="24"/>
        </w:rPr>
        <w:t>PrEP</w:t>
      </w:r>
      <w:proofErr w:type="spellEnd"/>
      <w:proofErr w:type="gramEnd"/>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Desde julho de 2012, o hospital é gerido pela organização social Instituto Sócrates </w:t>
      </w:r>
      <w:proofErr w:type="spellStart"/>
      <w:r w:rsidRPr="006B5F47">
        <w:rPr>
          <w:rFonts w:ascii="Arial" w:hAnsi="Arial" w:cs="Arial"/>
          <w:color w:val="000000" w:themeColor="text1"/>
          <w:sz w:val="24"/>
          <w:szCs w:val="24"/>
          <w:shd w:val="clear" w:color="auto" w:fill="FFFFFF"/>
        </w:rPr>
        <w:t>Guanaes</w:t>
      </w:r>
      <w:proofErr w:type="spellEnd"/>
      <w:r w:rsidRPr="006B5F47">
        <w:rPr>
          <w:rFonts w:ascii="Arial" w:hAnsi="Arial" w:cs="Arial"/>
          <w:color w:val="000000" w:themeColor="text1"/>
          <w:sz w:val="24"/>
          <w:szCs w:val="24"/>
          <w:shd w:val="clear" w:color="auto" w:fill="FFFFFF"/>
        </w:rPr>
        <w:t xml:space="preserve"> (ISG). Desde então recebeu prêmio no concurso de Humanização - em 2014, obtido em Concurso Cultural do Ministério da Saúde e o Selo de Qualidade da Organização Nacional de </w:t>
      </w:r>
      <w:proofErr w:type="spellStart"/>
      <w:r w:rsidRPr="006B5F47">
        <w:rPr>
          <w:rFonts w:ascii="Arial" w:hAnsi="Arial" w:cs="Arial"/>
          <w:color w:val="000000" w:themeColor="text1"/>
          <w:sz w:val="24"/>
          <w:szCs w:val="24"/>
          <w:shd w:val="clear" w:color="auto" w:fill="FFFFFF"/>
        </w:rPr>
        <w:t>Acreditação</w:t>
      </w:r>
      <w:proofErr w:type="spellEnd"/>
      <w:r w:rsidRPr="006B5F47">
        <w:rPr>
          <w:rFonts w:ascii="Arial" w:hAnsi="Arial" w:cs="Arial"/>
          <w:color w:val="000000" w:themeColor="text1"/>
          <w:sz w:val="24"/>
          <w:szCs w:val="24"/>
          <w:shd w:val="clear" w:color="auto" w:fill="FFFFFF"/>
        </w:rPr>
        <w:t xml:space="preserve">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bookmarkStart w:id="1" w:name="_Toc44681916"/>
    </w:p>
    <w:p w:rsidR="008D29B1" w:rsidRPr="006B5F47" w:rsidRDefault="008D29B1" w:rsidP="007F6363">
      <w:pPr>
        <w:pStyle w:val="Ttulo1"/>
        <w:rPr>
          <w:rFonts w:ascii="Arial" w:hAnsi="Arial" w:cs="Arial"/>
          <w:b w:val="0"/>
          <w:color w:val="000000" w:themeColor="text1"/>
          <w:sz w:val="24"/>
          <w:szCs w:val="24"/>
          <w:shd w:val="clear" w:color="auto" w:fill="FFFFFF"/>
        </w:rPr>
      </w:pPr>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44681917"/>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HDT oferece atendimento especializado em Infectologia e Dermatologia. As demais especialidades oferecem suporte para os pacientes definidos com o perfil da unidade, e são as seguintes: Clínica Geral, Neurologia, Pneumologia, Psiquiatria, Medicina Intensiva, 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xml:space="preserve">, Ginecologia, Nefrologia, Hematologia, </w:t>
      </w:r>
      <w:proofErr w:type="spellStart"/>
      <w:r w:rsidRPr="006B5F47">
        <w:rPr>
          <w:rFonts w:ascii="Arial" w:hAnsi="Arial" w:cs="Arial"/>
          <w:color w:val="000000" w:themeColor="text1"/>
          <w:sz w:val="24"/>
          <w:szCs w:val="24"/>
          <w:shd w:val="clear" w:color="auto" w:fill="FFFFFF"/>
        </w:rPr>
        <w:t>Nutrologia</w:t>
      </w:r>
      <w:proofErr w:type="spellEnd"/>
      <w:r w:rsidRPr="006B5F47">
        <w:rPr>
          <w:rFonts w:ascii="Arial" w:hAnsi="Arial" w:cs="Arial"/>
          <w:color w:val="000000" w:themeColor="text1"/>
          <w:sz w:val="24"/>
          <w:szCs w:val="24"/>
          <w:shd w:val="clear" w:color="auto" w:fill="FFFFFF"/>
        </w:rPr>
        <w:t xml:space="preserve">, Endocrinologia, </w:t>
      </w:r>
      <w:proofErr w:type="spellStart"/>
      <w:r w:rsidRPr="006B5F47">
        <w:rPr>
          <w:rFonts w:ascii="Arial" w:hAnsi="Arial" w:cs="Arial"/>
          <w:color w:val="000000" w:themeColor="text1"/>
          <w:sz w:val="24"/>
          <w:szCs w:val="24"/>
          <w:shd w:val="clear" w:color="auto" w:fill="FFFFFF"/>
        </w:rPr>
        <w:t>Proctologia</w:t>
      </w:r>
      <w:proofErr w:type="spellEnd"/>
      <w:r w:rsidRPr="006B5F47">
        <w:rPr>
          <w:rFonts w:ascii="Arial" w:hAnsi="Arial" w:cs="Arial"/>
          <w:color w:val="000000" w:themeColor="text1"/>
          <w:sz w:val="24"/>
          <w:szCs w:val="24"/>
          <w:shd w:val="clear" w:color="auto" w:fill="FFFFFF"/>
        </w:rPr>
        <w:t xml:space="preserve"> e Urologia.</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spellStart"/>
      <w:proofErr w:type="gramStart"/>
      <w:r w:rsidRPr="006B5F47">
        <w:rPr>
          <w:rFonts w:ascii="Arial" w:hAnsi="Arial" w:cs="Arial"/>
          <w:color w:val="000000" w:themeColor="text1"/>
          <w:sz w:val="24"/>
          <w:szCs w:val="24"/>
          <w:shd w:val="clear" w:color="auto" w:fill="FFFFFF"/>
        </w:rPr>
        <w:t>Aids</w:t>
      </w:r>
      <w:proofErr w:type="spellEnd"/>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Infectologia com duração de 3 anos, Infectologia pediátrica com duração de 2 anos e Dermatologia com duração de 3 anos;</w:t>
      </w:r>
      <w:r w:rsidRPr="006B5F47">
        <w:rPr>
          <w:rFonts w:ascii="Arial" w:hAnsi="Arial" w:cs="Arial"/>
          <w:color w:val="000000" w:themeColor="text1"/>
          <w:sz w:val="24"/>
          <w:szCs w:val="24"/>
        </w:rPr>
        <w:br/>
      </w:r>
      <w:r w:rsidRPr="006B5F47">
        <w:rPr>
          <w:rFonts w:ascii="Arial" w:hAnsi="Arial" w:cs="Arial"/>
          <w:color w:val="000000" w:themeColor="text1"/>
          <w:sz w:val="24"/>
          <w:szCs w:val="24"/>
        </w:rPr>
        <w:br/>
      </w: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44681918"/>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985830" w:rsidP="006B5F47">
      <w:pPr>
        <w:spacing w:after="0" w:line="360" w:lineRule="auto"/>
        <w:ind w:firstLine="708"/>
        <w:jc w:val="both"/>
        <w:rPr>
          <w:rFonts w:ascii="Arial" w:hAnsi="Arial" w:cs="Arial"/>
          <w:sz w:val="24"/>
          <w:szCs w:val="24"/>
        </w:rPr>
      </w:pPr>
      <w:r w:rsidRPr="006B5F47">
        <w:rPr>
          <w:rFonts w:ascii="Arial" w:hAnsi="Arial" w:cs="Arial"/>
          <w:sz w:val="24"/>
          <w:szCs w:val="24"/>
        </w:rPr>
        <w:t>O HDT é uma unidade referencia de assistência à saúde de alta complexidade, especializada em assistência aos portadores de doenças infecciosas, dermatológicas e vítimas de acidentes por animais peçonhentos, que são encaminhados a unidade via Central de Regulação do município de Goiânia e porta aberta a pacientes com HIV/ AIDS, já em tratamento/acompanhamento na unidade, vítimas de acidentes por animais peçonhentos e Profilaxia Pós-Exposição –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bookmarkStart w:id="4" w:name="_GoBack"/>
      <w:bookmarkEnd w:id="4"/>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Default="00364925" w:rsidP="006B5F47">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4C5824" w:rsidRPr="006B5F47">
        <w:rPr>
          <w:rFonts w:ascii="Arial" w:hAnsi="Arial" w:cs="Arial"/>
          <w:color w:val="000000" w:themeColor="text1"/>
          <w:sz w:val="24"/>
          <w:szCs w:val="24"/>
        </w:rPr>
        <w:t>envolvente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Pr="006B5F47">
        <w:rPr>
          <w:rFonts w:ascii="Arial" w:hAnsi="Arial" w:cs="Arial"/>
          <w:color w:val="000000" w:themeColor="text1"/>
          <w:sz w:val="24"/>
          <w:szCs w:val="24"/>
        </w:rPr>
        <w:t xml:space="preserve"> e as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E é por este motivo que o número de leitos ocupados nunca será o mesmo número de pacientes internados, pois por vezes temos enfermarias (com 2 leitos), sendo ocupadas apenas por um único paciente em precaução especial.</w:t>
      </w:r>
    </w:p>
    <w:p w:rsidR="0085601D" w:rsidRPr="006B5F47" w:rsidRDefault="0085601D" w:rsidP="006B5F47">
      <w:pPr>
        <w:spacing w:after="0" w:line="360" w:lineRule="auto"/>
        <w:ind w:firstLine="708"/>
        <w:jc w:val="both"/>
        <w:rPr>
          <w:rFonts w:ascii="Arial" w:hAnsi="Arial" w:cs="Arial"/>
          <w:color w:val="000000" w:themeColor="text1"/>
          <w:sz w:val="24"/>
          <w:szCs w:val="24"/>
        </w:rPr>
      </w:pPr>
    </w:p>
    <w:p w:rsidR="004C5824" w:rsidRPr="006B5F47" w:rsidRDefault="0085601D" w:rsidP="0085601D">
      <w:pPr>
        <w:spacing w:after="0" w:line="360" w:lineRule="auto"/>
        <w:jc w:val="both"/>
        <w:rPr>
          <w:rFonts w:ascii="Arial" w:hAnsi="Arial" w:cs="Arial"/>
          <w:color w:val="000000" w:themeColor="text1"/>
          <w:sz w:val="24"/>
          <w:szCs w:val="24"/>
        </w:rPr>
      </w:pPr>
      <w:r w:rsidRPr="0085601D">
        <w:rPr>
          <w:rFonts w:ascii="Arial" w:hAnsi="Arial" w:cs="Arial"/>
          <w:noProof/>
          <w:color w:val="000000" w:themeColor="text1"/>
          <w:sz w:val="24"/>
          <w:szCs w:val="24"/>
          <w:lang w:eastAsia="pt-BR"/>
        </w:rPr>
        <w:drawing>
          <wp:inline distT="0" distB="0" distL="0" distR="0">
            <wp:extent cx="5562600" cy="2828925"/>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4925" w:rsidRDefault="00364925" w:rsidP="00B869B0">
      <w:pPr>
        <w:spacing w:after="0" w:line="360" w:lineRule="auto"/>
        <w:ind w:left="720"/>
        <w:jc w:val="both"/>
        <w:rPr>
          <w:rFonts w:ascii="Arial" w:hAnsi="Arial" w:cs="Arial"/>
          <w:color w:val="000000" w:themeColor="text1"/>
          <w:sz w:val="24"/>
          <w:szCs w:val="24"/>
        </w:rPr>
      </w:pP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é composta de 9 leitos de internação, sendo 4 leitos privativos para pacientes em precaução especial – isolamento,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4 leitos, sendo 2 para isolamento,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1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possui 4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EE116A"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DF443E" w:rsidRPr="00EE0611" w:rsidRDefault="00DF443E">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lastRenderedPageBreak/>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014F" w:rsidRPr="00EE0611" w:rsidRDefault="001D014F" w:rsidP="001D014F">
      <w:pPr>
        <w:jc w:val="right"/>
        <w:rPr>
          <w:i/>
          <w:sz w:val="18"/>
          <w:szCs w:val="18"/>
        </w:rPr>
      </w:pPr>
      <w:r w:rsidRPr="00EE0611">
        <w:rPr>
          <w:i/>
          <w:sz w:val="18"/>
          <w:szCs w:val="18"/>
        </w:rPr>
        <w:t>Fonte: Relatório Institucional - RIH</w:t>
      </w:r>
    </w:p>
    <w:p w:rsidR="00330B11" w:rsidRDefault="00330B11" w:rsidP="00330B11">
      <w:pPr>
        <w:spacing w:after="0" w:line="360" w:lineRule="auto"/>
        <w:jc w:val="both"/>
        <w:rPr>
          <w:rStyle w:val="Forte"/>
          <w:rFonts w:ascii="Arial" w:hAnsi="Arial" w:cs="Arial"/>
          <w:color w:val="000000" w:themeColor="text1"/>
          <w:sz w:val="24"/>
          <w:szCs w:val="24"/>
        </w:rPr>
      </w:pPr>
    </w:p>
    <w:p w:rsidR="00985830" w:rsidRDefault="00985830" w:rsidP="00330B11">
      <w:pPr>
        <w:spacing w:after="0" w:line="360" w:lineRule="auto"/>
        <w:jc w:val="both"/>
        <w:rPr>
          <w:rFonts w:ascii="Arial" w:hAnsi="Arial" w:cs="Arial"/>
          <w:color w:val="000000" w:themeColor="text1"/>
          <w:sz w:val="24"/>
          <w:szCs w:val="24"/>
        </w:rPr>
      </w:pPr>
      <w:r w:rsidRPr="00330B11">
        <w:rPr>
          <w:rFonts w:ascii="Arial" w:hAnsi="Arial" w:cs="Arial"/>
          <w:color w:val="000000" w:themeColor="text1"/>
          <w:sz w:val="24"/>
          <w:szCs w:val="24"/>
        </w:rPr>
        <w:t>ATENDIMENTO DE URGÊNICA E EMERGÊNCIA</w:t>
      </w:r>
    </w:p>
    <w:p w:rsidR="00330B11" w:rsidRPr="00330B11" w:rsidRDefault="00330B11" w:rsidP="00330B11">
      <w:pPr>
        <w:spacing w:after="0" w:line="360" w:lineRule="auto"/>
        <w:jc w:val="both"/>
        <w:rPr>
          <w:rFonts w:ascii="Arial" w:hAnsi="Arial" w:cs="Arial"/>
          <w:color w:val="000000" w:themeColor="text1"/>
          <w:sz w:val="24"/>
          <w:szCs w:val="24"/>
        </w:rPr>
      </w:pPr>
    </w:p>
    <w:p w:rsidR="008150EB" w:rsidRPr="006B5F47" w:rsidRDefault="008150EB"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 emergência possui demanda de atendimento regulada e aberta para pacientes HIV, na sua maioria, pacientes que necessitam de atendimento especializado de infectologia e dermatologia e que adentram a unidade muitas vezes em precauções especiais (contato, gotículas ou respiratórias), dessa forma necessitando de isolamento, o que interfere na nossa capacidade de novas admissões, visto que, 1 paciente ocupa 2 leitos de observação, processo esse que somado a outros eventos, influenciam na nossa produção emergencial.</w:t>
      </w:r>
    </w:p>
    <w:p w:rsidR="00985830" w:rsidRDefault="00985830" w:rsidP="00B869B0">
      <w:pPr>
        <w:spacing w:after="0" w:line="360" w:lineRule="auto"/>
        <w:jc w:val="both"/>
        <w:rPr>
          <w:rFonts w:ascii="Arial" w:hAnsi="Arial" w:cs="Arial"/>
          <w:color w:val="000000" w:themeColor="text1"/>
          <w:sz w:val="24"/>
          <w:szCs w:val="24"/>
        </w:rPr>
      </w:pPr>
    </w:p>
    <w:p w:rsidR="00330B11" w:rsidRPr="006B5F47" w:rsidRDefault="00330B11" w:rsidP="00667458">
      <w:pPr>
        <w:spacing w:after="0" w:line="360" w:lineRule="auto"/>
        <w:jc w:val="center"/>
        <w:rPr>
          <w:rFonts w:ascii="Arial" w:hAnsi="Arial" w:cs="Arial"/>
          <w:color w:val="000000" w:themeColor="text1"/>
          <w:sz w:val="24"/>
          <w:szCs w:val="24"/>
        </w:rPr>
      </w:pPr>
      <w:r w:rsidRPr="00330B11">
        <w:rPr>
          <w:rFonts w:ascii="Arial" w:hAnsi="Arial" w:cs="Arial"/>
          <w:noProof/>
          <w:color w:val="000000" w:themeColor="text1"/>
          <w:sz w:val="24"/>
          <w:szCs w:val="24"/>
          <w:lang w:eastAsia="pt-BR"/>
        </w:rPr>
        <w:drawing>
          <wp:inline distT="0" distB="0" distL="0" distR="0">
            <wp:extent cx="4914900" cy="2657475"/>
            <wp:effectExtent l="19050" t="0" r="19050" b="0"/>
            <wp:docPr id="2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1D014F" w:rsidRDefault="001D014F" w:rsidP="001D014F">
      <w:pPr>
        <w:jc w:val="right"/>
        <w:rPr>
          <w:rStyle w:val="Forte"/>
          <w:b w:val="0"/>
          <w:bCs w:val="0"/>
          <w:i/>
          <w:sz w:val="18"/>
          <w:szCs w:val="18"/>
        </w:rPr>
      </w:pPr>
      <w:r w:rsidRPr="00EE0611">
        <w:rPr>
          <w:i/>
          <w:sz w:val="18"/>
          <w:szCs w:val="18"/>
        </w:rPr>
        <w:t>Fonte: Relatório Institucional - RIH</w:t>
      </w:r>
      <w:r w:rsidR="00EE116A" w:rsidRPr="00EE116A">
        <w:rPr>
          <w:rFonts w:ascii="Arial" w:hAnsi="Arial" w:cs="Arial"/>
          <w:b/>
          <w:bCs/>
          <w:noProof/>
          <w:color w:val="000000" w:themeColor="text1"/>
          <w:sz w:val="24"/>
          <w:szCs w:val="24"/>
          <w:lang w:eastAsia="pt-BR"/>
        </w:rPr>
        <w:pict>
          <v:shape id="_x0000_s1035" type="#_x0000_t202" style="position:absolute;left:0;text-align:left;margin-left:254.15pt;margin-top:220.05pt;width:170.3pt;height:23.1pt;z-index:251665408;mso-position-horizontal-relative:text;mso-position-vertical-relative:text;mso-width-relative:margin;mso-height-relative:margin" stroked="f">
            <v:textbox>
              <w:txbxContent>
                <w:p w:rsidR="00DF443E" w:rsidRPr="00EE0611" w:rsidRDefault="00DF443E" w:rsidP="00985830">
                  <w:pPr>
                    <w:rPr>
                      <w:i/>
                      <w:sz w:val="18"/>
                      <w:szCs w:val="18"/>
                    </w:rPr>
                  </w:pPr>
                  <w:r w:rsidRPr="00EE0611">
                    <w:rPr>
                      <w:i/>
                      <w:sz w:val="18"/>
                      <w:szCs w:val="18"/>
                    </w:rPr>
                    <w:t>Fonte: Relatório Institucional - RIH</w:t>
                  </w:r>
                </w:p>
              </w:txbxContent>
            </v:textbox>
          </v:shape>
        </w:pict>
      </w:r>
    </w:p>
    <w:p w:rsidR="00667458" w:rsidRDefault="00667458" w:rsidP="00667458">
      <w:pPr>
        <w:spacing w:after="0" w:line="360" w:lineRule="auto"/>
        <w:jc w:val="both"/>
        <w:rPr>
          <w:rStyle w:val="Forte"/>
          <w:rFonts w:ascii="Arial" w:hAnsi="Arial" w:cs="Arial"/>
          <w:color w:val="000000" w:themeColor="text1"/>
          <w:sz w:val="24"/>
          <w:szCs w:val="24"/>
        </w:rPr>
      </w:pP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667458" w:rsidRDefault="008150EB" w:rsidP="00A27E0F">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E74677"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CENTRO CIRURGICO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w:t>
      </w:r>
      <w:proofErr w:type="spellStart"/>
      <w:r w:rsidRPr="006B5F47">
        <w:rPr>
          <w:rFonts w:ascii="Arial" w:hAnsi="Arial" w:cs="Arial"/>
          <w:color w:val="000000" w:themeColor="text1"/>
          <w:sz w:val="24"/>
          <w:szCs w:val="24"/>
        </w:rPr>
        <w:t>colonoscopia</w:t>
      </w:r>
      <w:proofErr w:type="spellEnd"/>
      <w:r w:rsidRPr="006B5F47">
        <w:rPr>
          <w:rFonts w:ascii="Arial" w:hAnsi="Arial" w:cs="Arial"/>
          <w:color w:val="000000" w:themeColor="text1"/>
          <w:sz w:val="24"/>
          <w:szCs w:val="24"/>
        </w:rPr>
        <w:t xml:space="preserve">, endoscopia, </w:t>
      </w:r>
      <w:proofErr w:type="spellStart"/>
      <w:r w:rsidRPr="006B5F47">
        <w:rPr>
          <w:rFonts w:ascii="Arial" w:hAnsi="Arial" w:cs="Arial"/>
          <w:color w:val="000000" w:themeColor="text1"/>
          <w:sz w:val="24"/>
          <w:szCs w:val="24"/>
        </w:rPr>
        <w:t>broncoscopia</w:t>
      </w:r>
      <w:proofErr w:type="spellEnd"/>
      <w:r w:rsidRPr="006B5F47">
        <w:rPr>
          <w:rFonts w:ascii="Arial" w:hAnsi="Arial" w:cs="Arial"/>
          <w:color w:val="000000" w:themeColor="text1"/>
          <w:sz w:val="24"/>
          <w:szCs w:val="24"/>
        </w:rPr>
        <w:t xml:space="preserve">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D01A7B">
        <w:rPr>
          <w:rFonts w:ascii="Arial" w:hAnsi="Arial" w:cs="Arial"/>
          <w:i/>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D01A7B">
        <w:rPr>
          <w:rFonts w:ascii="Arial" w:hAnsi="Arial" w:cs="Arial"/>
          <w:i/>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D01A7B">
        <w:rPr>
          <w:rFonts w:ascii="Arial" w:hAnsi="Arial" w:cs="Arial"/>
          <w:i/>
          <w:color w:val="000000" w:themeColor="text1"/>
          <w:sz w:val="24"/>
          <w:szCs w:val="24"/>
        </w:rPr>
        <w:t>consulta sub</w:t>
      </w:r>
      <w:r w:rsidR="005F295C" w:rsidRPr="00D01A7B">
        <w:rPr>
          <w:rFonts w:ascii="Arial" w:hAnsi="Arial" w:cs="Arial"/>
          <w:i/>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ambulatório do HDT dispõe de várias especialidades para atender seu público, englobando em seu corpo clínico especialidades como: cardiologia, cirurgia torácica, dermatolo</w:t>
      </w:r>
      <w:r w:rsidR="00FF0563">
        <w:rPr>
          <w:rFonts w:ascii="Arial" w:hAnsi="Arial" w:cs="Arial"/>
          <w:color w:val="000000" w:themeColor="text1"/>
          <w:sz w:val="24"/>
          <w:szCs w:val="24"/>
        </w:rPr>
        <w:t xml:space="preserve">gia, endocrinologia, </w:t>
      </w:r>
      <w:proofErr w:type="spellStart"/>
      <w:r w:rsidR="00FF0563">
        <w:rPr>
          <w:rFonts w:ascii="Arial" w:hAnsi="Arial" w:cs="Arial"/>
          <w:color w:val="000000" w:themeColor="text1"/>
          <w:sz w:val="24"/>
          <w:szCs w:val="24"/>
        </w:rPr>
        <w:t>gastroenterologia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pediátrica</w:t>
      </w:r>
      <w:proofErr w:type="gramEnd"/>
      <w:r w:rsidRPr="006B5F47">
        <w:rPr>
          <w:rFonts w:ascii="Arial" w:hAnsi="Arial" w:cs="Arial"/>
          <w:color w:val="000000" w:themeColor="text1"/>
          <w:sz w:val="24"/>
          <w:szCs w:val="24"/>
        </w:rPr>
        <w:t>, nefrologia, neurologia, ginecologia,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lastRenderedPageBreak/>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w:t>
      </w:r>
      <w:proofErr w:type="spellStart"/>
      <w:r w:rsidR="009E7309" w:rsidRPr="006B5F47">
        <w:rPr>
          <w:rFonts w:ascii="Arial" w:hAnsi="Arial" w:cs="Arial"/>
          <w:color w:val="000000" w:themeColor="text1"/>
          <w:sz w:val="24"/>
          <w:szCs w:val="24"/>
        </w:rPr>
        <w:t>broncoscopia</w:t>
      </w:r>
      <w:proofErr w:type="spellEnd"/>
      <w:r w:rsidR="009E7309" w:rsidRPr="006B5F47">
        <w:rPr>
          <w:rFonts w:ascii="Arial" w:hAnsi="Arial" w:cs="Arial"/>
          <w:color w:val="000000" w:themeColor="text1"/>
          <w:sz w:val="24"/>
          <w:szCs w:val="24"/>
        </w:rPr>
        <w:t xml:space="preserve">, </w:t>
      </w:r>
      <w:proofErr w:type="spellStart"/>
      <w:r w:rsidR="009E7309" w:rsidRPr="006B5F47">
        <w:rPr>
          <w:rFonts w:ascii="Arial" w:hAnsi="Arial" w:cs="Arial"/>
          <w:color w:val="000000" w:themeColor="text1"/>
          <w:sz w:val="24"/>
          <w:szCs w:val="24"/>
        </w:rPr>
        <w:t>colonoscopia</w:t>
      </w:r>
      <w:proofErr w:type="spellEnd"/>
      <w:r w:rsidR="009E7309" w:rsidRPr="006B5F47">
        <w:rPr>
          <w:rFonts w:ascii="Arial" w:hAnsi="Arial" w:cs="Arial"/>
          <w:color w:val="000000" w:themeColor="text1"/>
          <w:sz w:val="24"/>
          <w:szCs w:val="24"/>
        </w:rPr>
        <w:t>,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t xml:space="preserve">Através do estudo de fluidos corporais colhidos do paciente, como por exemplo, sangue, urina, saliva, fezes, esperma, fragmentos de tecido, líquido </w:t>
      </w:r>
      <w:proofErr w:type="spellStart"/>
      <w:r w:rsidRPr="006B5F47">
        <w:rPr>
          <w:rStyle w:val="nfase"/>
          <w:rFonts w:ascii="Arial" w:hAnsi="Arial" w:cs="Arial"/>
          <w:bCs/>
          <w:i w:val="0"/>
          <w:sz w:val="24"/>
          <w:szCs w:val="24"/>
        </w:rPr>
        <w:t>sinovial</w:t>
      </w:r>
      <w:proofErr w:type="spellEnd"/>
      <w:r w:rsidRPr="006B5F47">
        <w:rPr>
          <w:rStyle w:val="nfase"/>
          <w:rFonts w:ascii="Arial" w:hAnsi="Arial" w:cs="Arial"/>
          <w:bCs/>
          <w:i w:val="0"/>
          <w:sz w:val="24"/>
          <w:szCs w:val="24"/>
        </w:rPr>
        <w:t>, pleural, líquido cefalorraquidiano é possível realizar </w:t>
      </w:r>
      <w:r w:rsidRPr="006B5F47">
        <w:rPr>
          <w:rStyle w:val="nfase"/>
          <w:rFonts w:ascii="Arial" w:hAnsi="Arial" w:cs="Arial"/>
          <w:bCs/>
          <w:i w:val="0"/>
          <w:sz w:val="24"/>
          <w:szCs w:val="24"/>
          <w:shd w:val="clear" w:color="auto" w:fill="FFFFFF"/>
        </w:rPr>
        <w:t xml:space="preserve">uma grande variedade de exames com diferentes complexidades, como um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Pr="006B5F47">
        <w:rPr>
          <w:rStyle w:val="nfase"/>
          <w:rFonts w:ascii="Arial" w:hAnsi="Arial" w:cs="Arial"/>
          <w:bCs/>
          <w:i w:val="0"/>
          <w:sz w:val="24"/>
          <w:szCs w:val="24"/>
          <w:shd w:val="clear" w:color="auto" w:fill="FFFFFF"/>
        </w:rPr>
        <w:t>citopatologia</w:t>
      </w:r>
      <w:proofErr w:type="spellEnd"/>
      <w:r w:rsidRPr="006B5F47">
        <w:rPr>
          <w:rStyle w:val="nfase"/>
          <w:rFonts w:ascii="Arial" w:hAnsi="Arial" w:cs="Arial"/>
          <w:bCs/>
          <w:i w:val="0"/>
          <w:sz w:val="24"/>
          <w:szCs w:val="24"/>
          <w:shd w:val="clear" w:color="auto" w:fill="FFFFFF"/>
        </w:rPr>
        <w:t>, biópsias, citologia oncótica até diagnóstico de doenças infecciosas, dentre outros. </w:t>
      </w:r>
    </w:p>
    <w:p w:rsidR="00B27B65" w:rsidRDefault="00B51DAA"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lastRenderedPageBreak/>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B27B65" w:rsidRPr="006B5F47">
        <w:rPr>
          <w:rStyle w:val="nfase"/>
          <w:rFonts w:ascii="Arial" w:hAnsi="Arial" w:cs="Arial"/>
          <w:bCs/>
          <w:i w:val="0"/>
          <w:sz w:val="24"/>
          <w:szCs w:val="24"/>
        </w:rPr>
        <w:t>.</w:t>
      </w:r>
    </w:p>
    <w:p w:rsidR="00B51DAA" w:rsidRDefault="00B51DAA" w:rsidP="00B51DAA">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514975" cy="2533650"/>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98B" w:rsidRPr="00EE0611" w:rsidRDefault="001C398B" w:rsidP="001C398B">
      <w:pPr>
        <w:jc w:val="right"/>
        <w:rPr>
          <w:i/>
          <w:sz w:val="18"/>
          <w:szCs w:val="18"/>
        </w:rPr>
      </w:pPr>
      <w:r w:rsidRPr="00EE0611">
        <w:rPr>
          <w:i/>
          <w:sz w:val="18"/>
          <w:szCs w:val="18"/>
        </w:rPr>
        <w:t>Fonte: Relatório Institucional - RIH</w:t>
      </w:r>
    </w:p>
    <w:p w:rsidR="00C151F6" w:rsidRPr="006B5F47" w:rsidRDefault="00C151F6" w:rsidP="00B869B0">
      <w:pPr>
        <w:spacing w:after="0" w:line="360" w:lineRule="auto"/>
        <w:ind w:left="-142" w:firstLine="502"/>
        <w:jc w:val="both"/>
        <w:rPr>
          <w:rFonts w:ascii="Arial" w:hAnsi="Arial" w:cs="Arial"/>
          <w:color w:val="000000" w:themeColor="text1"/>
          <w:sz w:val="24"/>
          <w:szCs w:val="24"/>
        </w:rPr>
      </w:pPr>
    </w:p>
    <w:p w:rsidR="00210B32" w:rsidRPr="006B5F47" w:rsidRDefault="00210B32" w:rsidP="00B869B0">
      <w:pPr>
        <w:tabs>
          <w:tab w:val="left" w:pos="3510"/>
        </w:tabs>
        <w:spacing w:after="0" w:line="360" w:lineRule="auto"/>
        <w:ind w:left="851"/>
        <w:rPr>
          <w:rFonts w:ascii="Arial" w:hAnsi="Arial" w:cs="Arial"/>
          <w:sz w:val="24"/>
          <w:szCs w:val="24"/>
        </w:rPr>
      </w:pPr>
    </w:p>
    <w:p w:rsidR="00DB5EAB" w:rsidRPr="006B5F47" w:rsidRDefault="00DB5EAB" w:rsidP="00B869B0">
      <w:pPr>
        <w:tabs>
          <w:tab w:val="left" w:pos="0"/>
        </w:tabs>
        <w:spacing w:after="0" w:line="360" w:lineRule="auto"/>
        <w:rPr>
          <w:rFonts w:ascii="Arial" w:hAnsi="Arial" w:cs="Arial"/>
          <w:sz w:val="24"/>
          <w:szCs w:val="24"/>
        </w:rPr>
      </w:pPr>
    </w:p>
    <w:p w:rsidR="00C341FF" w:rsidRPr="006B5F47" w:rsidRDefault="00C341FF" w:rsidP="00B869B0">
      <w:pPr>
        <w:spacing w:after="0" w:line="360" w:lineRule="auto"/>
        <w:ind w:left="360"/>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C398B" w:rsidRDefault="001C398B">
      <w:pPr>
        <w:rPr>
          <w:rFonts w:ascii="Arial" w:hAnsi="Arial" w:cs="Arial"/>
          <w:color w:val="002060"/>
          <w:sz w:val="36"/>
          <w:szCs w:val="36"/>
        </w:rPr>
      </w:pPr>
    </w:p>
    <w:p w:rsidR="00197C16" w:rsidRDefault="00197C16" w:rsidP="007F6363">
      <w:pPr>
        <w:pStyle w:val="Ttulo1"/>
        <w:rPr>
          <w:rFonts w:ascii="Arial" w:hAnsi="Arial" w:cs="Arial"/>
          <w:color w:val="000000" w:themeColor="text1"/>
          <w:sz w:val="24"/>
          <w:szCs w:val="24"/>
        </w:rPr>
      </w:pPr>
      <w:bookmarkStart w:id="5" w:name="_Toc44681919"/>
    </w:p>
    <w:p w:rsidR="00C341FF" w:rsidRDefault="00C341FF" w:rsidP="007F6363">
      <w:pPr>
        <w:pStyle w:val="Ttulo1"/>
        <w:rPr>
          <w:rFonts w:ascii="Arial" w:hAnsi="Arial" w:cs="Arial"/>
          <w:color w:val="000000" w:themeColor="text1"/>
          <w:sz w:val="24"/>
          <w:szCs w:val="24"/>
        </w:rPr>
      </w:pPr>
      <w:r w:rsidRPr="001C398B">
        <w:rPr>
          <w:rFonts w:ascii="Arial" w:hAnsi="Arial" w:cs="Arial"/>
          <w:color w:val="000000" w:themeColor="text1"/>
          <w:sz w:val="24"/>
          <w:szCs w:val="24"/>
        </w:rPr>
        <w:t>METAS DE PRODUÇÃO SEMESTRAL E RESULTADOS ALCANÇADOS</w:t>
      </w:r>
      <w:bookmarkEnd w:id="5"/>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D83908"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08</w:t>
            </w:r>
            <w:r w:rsidR="001C398B">
              <w:rPr>
                <w:rFonts w:ascii="Arial" w:hAnsi="Arial" w:cs="Arial"/>
                <w:color w:val="auto"/>
                <w:sz w:val="24"/>
                <w:szCs w:val="24"/>
              </w:rPr>
              <w:t>/20</w:t>
            </w:r>
            <w:r w:rsidR="00FF0563">
              <w:rPr>
                <w:rFonts w:ascii="Arial" w:hAnsi="Arial" w:cs="Arial"/>
                <w:color w:val="auto"/>
                <w:sz w:val="24"/>
                <w:szCs w:val="24"/>
              </w:rPr>
              <w:t>19</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200</w:t>
            </w:r>
          </w:p>
        </w:tc>
        <w:tc>
          <w:tcPr>
            <w:tcW w:w="2303" w:type="dxa"/>
            <w:vAlign w:val="center"/>
          </w:tcPr>
          <w:p w:rsidR="001C398B" w:rsidRPr="006B5F47" w:rsidRDefault="00D83908"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175</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Urgência / Emergência</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750</w:t>
            </w:r>
          </w:p>
        </w:tc>
        <w:tc>
          <w:tcPr>
            <w:tcW w:w="2303" w:type="dxa"/>
            <w:vAlign w:val="center"/>
          </w:tcPr>
          <w:p w:rsidR="001C398B" w:rsidRPr="006B5F47" w:rsidRDefault="00D83908"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602</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100</w:t>
            </w:r>
          </w:p>
        </w:tc>
        <w:tc>
          <w:tcPr>
            <w:tcW w:w="2303" w:type="dxa"/>
            <w:vAlign w:val="center"/>
          </w:tcPr>
          <w:p w:rsidR="001C398B" w:rsidRPr="006B5F47" w:rsidRDefault="00D83908"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278</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1C398B" w:rsidP="00B869B0">
            <w:pPr>
              <w:spacing w:line="360" w:lineRule="auto"/>
              <w:jc w:val="center"/>
              <w:cnfStyle w:val="000000000000"/>
              <w:rPr>
                <w:rFonts w:ascii="Arial" w:hAnsi="Arial" w:cs="Arial"/>
                <w:color w:val="auto"/>
                <w:sz w:val="24"/>
                <w:szCs w:val="24"/>
              </w:rPr>
            </w:pPr>
            <w:r w:rsidRPr="006B5F47">
              <w:rPr>
                <w:rFonts w:ascii="Arial" w:hAnsi="Arial" w:cs="Arial"/>
                <w:color w:val="auto"/>
                <w:sz w:val="24"/>
                <w:szCs w:val="24"/>
              </w:rPr>
              <w:t>3.700</w:t>
            </w:r>
          </w:p>
        </w:tc>
        <w:tc>
          <w:tcPr>
            <w:tcW w:w="2303" w:type="dxa"/>
            <w:vAlign w:val="center"/>
          </w:tcPr>
          <w:p w:rsidR="001C398B" w:rsidRPr="006B5F47" w:rsidRDefault="00E20827"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3.</w:t>
            </w:r>
            <w:r w:rsidR="00D83908">
              <w:rPr>
                <w:rFonts w:ascii="Arial" w:hAnsi="Arial" w:cs="Arial"/>
                <w:color w:val="auto"/>
                <w:sz w:val="24"/>
                <w:szCs w:val="24"/>
              </w:rPr>
              <w:t>984</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5F09FE" w:rsidRPr="00EE0611" w:rsidRDefault="005F09FE" w:rsidP="001C398B">
      <w:pPr>
        <w:jc w:val="right"/>
        <w:rPr>
          <w:i/>
          <w:sz w:val="18"/>
          <w:szCs w:val="18"/>
        </w:rPr>
      </w:pPr>
    </w:p>
    <w:p w:rsidR="00C341FF" w:rsidRPr="006B5F47" w:rsidRDefault="005F09FE" w:rsidP="001C398B">
      <w:pPr>
        <w:spacing w:after="0" w:line="360" w:lineRule="auto"/>
        <w:ind w:left="360"/>
        <w:rPr>
          <w:rFonts w:ascii="Arial" w:hAnsi="Arial" w:cs="Arial"/>
          <w:color w:val="002060"/>
          <w:sz w:val="36"/>
          <w:szCs w:val="36"/>
        </w:rPr>
      </w:pPr>
      <w:r w:rsidRPr="005F09FE">
        <w:rPr>
          <w:rFonts w:ascii="Arial" w:hAnsi="Arial" w:cs="Arial"/>
          <w:noProof/>
          <w:color w:val="002060"/>
          <w:sz w:val="36"/>
          <w:szCs w:val="36"/>
          <w:lang w:eastAsia="pt-BR"/>
        </w:rPr>
        <w:drawing>
          <wp:inline distT="0" distB="0" distL="0" distR="0">
            <wp:extent cx="5514975" cy="2533650"/>
            <wp:effectExtent l="19050" t="0" r="9525" b="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F09FE" w:rsidRDefault="005F09FE" w:rsidP="005F09FE">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3B7143" w:rsidRPr="003B7143" w:rsidRDefault="00AF47D9" w:rsidP="00B869B0">
      <w:pPr>
        <w:spacing w:after="0" w:line="360" w:lineRule="auto"/>
        <w:ind w:firstLine="708"/>
        <w:jc w:val="both"/>
        <w:rPr>
          <w:rFonts w:ascii="Arial" w:hAnsi="Arial" w:cs="Arial"/>
          <w:color w:val="000000" w:themeColor="text1"/>
          <w:sz w:val="24"/>
          <w:szCs w:val="24"/>
        </w:rPr>
      </w:pPr>
      <w:r w:rsidRPr="003B7143">
        <w:rPr>
          <w:rFonts w:ascii="Arial" w:hAnsi="Arial" w:cs="Arial"/>
          <w:color w:val="000000" w:themeColor="text1"/>
          <w:sz w:val="24"/>
          <w:szCs w:val="24"/>
        </w:rPr>
        <w:t xml:space="preserve">As saídas hospitalares conforme contrato de gestão Nº 091/2012 – ISG/SES – GO, são mensuradas através da apresentação das </w:t>
      </w:r>
      <w:proofErr w:type="spellStart"/>
      <w:r w:rsidRPr="003B7143">
        <w:rPr>
          <w:rFonts w:ascii="Arial" w:hAnsi="Arial" w:cs="Arial"/>
          <w:color w:val="000000" w:themeColor="text1"/>
          <w:sz w:val="24"/>
          <w:szCs w:val="24"/>
        </w:rPr>
        <w:t>AIH’s</w:t>
      </w:r>
      <w:proofErr w:type="spellEnd"/>
      <w:r w:rsidRPr="003B7143">
        <w:rPr>
          <w:rFonts w:ascii="Arial" w:hAnsi="Arial" w:cs="Arial"/>
          <w:color w:val="000000" w:themeColor="text1"/>
          <w:sz w:val="24"/>
          <w:szCs w:val="24"/>
        </w:rPr>
        <w:t xml:space="preserve"> emitidas pelo gestor em cada mês. </w:t>
      </w: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lastRenderedPageBreak/>
        <w:t>Atendimento de Urgência e Emergência</w:t>
      </w:r>
    </w:p>
    <w:p w:rsidR="003B7143" w:rsidRPr="003B7143" w:rsidRDefault="003B7143" w:rsidP="003B7143">
      <w:pPr>
        <w:pStyle w:val="PargrafodaLista"/>
        <w:spacing w:after="0" w:line="360" w:lineRule="auto"/>
        <w:rPr>
          <w:rFonts w:ascii="Arial" w:hAnsi="Arial" w:cs="Arial"/>
          <w:color w:val="002060"/>
          <w:sz w:val="24"/>
          <w:szCs w:val="24"/>
        </w:rPr>
      </w:pPr>
    </w:p>
    <w:p w:rsidR="00F95E35" w:rsidRDefault="00F95E35" w:rsidP="00B869B0">
      <w:pPr>
        <w:spacing w:after="0" w:line="360" w:lineRule="auto"/>
        <w:ind w:firstLine="708"/>
        <w:jc w:val="both"/>
        <w:rPr>
          <w:rFonts w:ascii="Arial" w:hAnsi="Arial" w:cs="Arial"/>
          <w:sz w:val="24"/>
          <w:szCs w:val="24"/>
        </w:rPr>
      </w:pPr>
      <w:r w:rsidRPr="003B7143">
        <w:rPr>
          <w:rFonts w:ascii="Arial" w:hAnsi="Arial" w:cs="Arial"/>
          <w:sz w:val="24"/>
          <w:szCs w:val="24"/>
        </w:rPr>
        <w:t xml:space="preserve">A equipe está </w:t>
      </w:r>
      <w:r w:rsidR="003B7143">
        <w:rPr>
          <w:rFonts w:ascii="Arial" w:hAnsi="Arial" w:cs="Arial"/>
          <w:sz w:val="24"/>
          <w:szCs w:val="24"/>
        </w:rPr>
        <w:t xml:space="preserve">trabalhando </w:t>
      </w:r>
      <w:r w:rsidRPr="003B7143">
        <w:rPr>
          <w:rFonts w:ascii="Arial" w:hAnsi="Arial" w:cs="Arial"/>
          <w:sz w:val="24"/>
          <w:szCs w:val="24"/>
        </w:rPr>
        <w:t>para melhor adesão dos protocolos clínicos da unidade, redimensionamentos, objetivando melhorar o giro de leitos</w:t>
      </w:r>
      <w:r w:rsidR="008A4D59" w:rsidRPr="003B7143">
        <w:rPr>
          <w:rFonts w:ascii="Arial" w:hAnsi="Arial" w:cs="Arial"/>
          <w:sz w:val="24"/>
          <w:szCs w:val="24"/>
        </w:rPr>
        <w:t xml:space="preserve"> das unidades de internação</w:t>
      </w:r>
      <w:r w:rsidRPr="003B7143">
        <w:rPr>
          <w:rFonts w:ascii="Arial" w:hAnsi="Arial" w:cs="Arial"/>
          <w:sz w:val="24"/>
          <w:szCs w:val="24"/>
        </w:rPr>
        <w:t xml:space="preserve"> para que a emergência </w:t>
      </w:r>
      <w:r w:rsidR="008A4D59" w:rsidRPr="003B7143">
        <w:rPr>
          <w:rFonts w:ascii="Arial" w:hAnsi="Arial" w:cs="Arial"/>
          <w:sz w:val="24"/>
          <w:szCs w:val="24"/>
        </w:rPr>
        <w:t>possa ter vaga para atender mais</w:t>
      </w:r>
      <w:r w:rsidRPr="003B7143">
        <w:rPr>
          <w:rFonts w:ascii="Arial" w:hAnsi="Arial" w:cs="Arial"/>
          <w:sz w:val="24"/>
          <w:szCs w:val="24"/>
        </w:rPr>
        <w:t xml:space="preserve"> pacientes</w:t>
      </w:r>
      <w:r w:rsidR="008A4D59" w:rsidRPr="003B7143">
        <w:rPr>
          <w:rFonts w:ascii="Arial" w:hAnsi="Arial" w:cs="Arial"/>
          <w:sz w:val="24"/>
          <w:szCs w:val="24"/>
        </w:rPr>
        <w:t>.</w:t>
      </w:r>
    </w:p>
    <w:p w:rsidR="003B7143" w:rsidRPr="003B7143" w:rsidRDefault="003B7143" w:rsidP="00B869B0">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C019CF" w:rsidRDefault="00C019CF" w:rsidP="003B7143">
      <w:pPr>
        <w:spacing w:after="0" w:line="360" w:lineRule="auto"/>
        <w:ind w:firstLine="708"/>
        <w:jc w:val="both"/>
        <w:rPr>
          <w:rFonts w:ascii="Arial" w:hAnsi="Arial" w:cs="Arial"/>
          <w:sz w:val="24"/>
          <w:szCs w:val="24"/>
        </w:rPr>
      </w:pPr>
      <w:r w:rsidRPr="003B7143">
        <w:rPr>
          <w:rFonts w:ascii="Arial" w:hAnsi="Arial" w:cs="Arial"/>
          <w:sz w:val="24"/>
          <w:szCs w:val="24"/>
        </w:rPr>
        <w:t>No Hospital Dia estamos sempre acima da Meta co</w:t>
      </w:r>
      <w:r w:rsidR="007B695E" w:rsidRPr="003B7143">
        <w:rPr>
          <w:rFonts w:ascii="Arial" w:hAnsi="Arial" w:cs="Arial"/>
          <w:sz w:val="24"/>
          <w:szCs w:val="24"/>
        </w:rPr>
        <w:t>ntratada</w:t>
      </w:r>
      <w:r w:rsidR="00AA002C" w:rsidRPr="003B7143">
        <w:rPr>
          <w:rFonts w:ascii="Arial" w:hAnsi="Arial" w:cs="Arial"/>
          <w:sz w:val="24"/>
          <w:szCs w:val="24"/>
        </w:rPr>
        <w:t>. É um setor destinado a pacientes que necessitam de administrar medicações endovenosas, porém sem a obrigatoriedade de uma internação hospitalar.</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A6D04" w:rsidRDefault="00AA002C" w:rsidP="00F26452">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w:t>
      </w:r>
      <w:r w:rsidR="004C1DAB">
        <w:rPr>
          <w:rFonts w:ascii="Arial" w:hAnsi="Arial" w:cs="Arial"/>
          <w:sz w:val="24"/>
          <w:szCs w:val="24"/>
        </w:rPr>
        <w:t>n</w:t>
      </w:r>
      <w:r w:rsidR="007B695E" w:rsidRPr="003B7143">
        <w:rPr>
          <w:rFonts w:ascii="Arial" w:hAnsi="Arial" w:cs="Arial"/>
          <w:sz w:val="24"/>
          <w:szCs w:val="24"/>
        </w:rPr>
        <w:t>o Ambulatório</w:t>
      </w:r>
      <w:r w:rsidR="004C1DAB">
        <w:rPr>
          <w:rFonts w:ascii="Arial" w:hAnsi="Arial" w:cs="Arial"/>
          <w:sz w:val="24"/>
          <w:szCs w:val="24"/>
        </w:rPr>
        <w:t xml:space="preserve"> temos</w:t>
      </w:r>
      <w:r w:rsidR="007B695E" w:rsidRPr="003B7143">
        <w:rPr>
          <w:rFonts w:ascii="Arial" w:hAnsi="Arial" w:cs="Arial"/>
          <w:sz w:val="24"/>
          <w:szCs w:val="24"/>
        </w:rPr>
        <w:t xml:space="preserve"> </w:t>
      </w:r>
      <w:r w:rsidR="001130C2" w:rsidRPr="003B7143">
        <w:rPr>
          <w:rFonts w:ascii="Arial" w:hAnsi="Arial" w:cs="Arial"/>
          <w:sz w:val="24"/>
          <w:szCs w:val="24"/>
        </w:rPr>
        <w:t xml:space="preserve">as consultas médicas e </w:t>
      </w:r>
      <w:proofErr w:type="gramStart"/>
      <w:r w:rsidR="001130C2" w:rsidRPr="003B7143">
        <w:rPr>
          <w:rFonts w:ascii="Arial" w:hAnsi="Arial" w:cs="Arial"/>
          <w:sz w:val="24"/>
          <w:szCs w:val="24"/>
        </w:rPr>
        <w:t>as não</w:t>
      </w:r>
      <w:proofErr w:type="gramEnd"/>
      <w:r w:rsidR="001130C2" w:rsidRPr="003B7143">
        <w:rPr>
          <w:rFonts w:ascii="Arial" w:hAnsi="Arial" w:cs="Arial"/>
          <w:sz w:val="24"/>
          <w:szCs w:val="24"/>
        </w:rPr>
        <w:t xml:space="preserve"> médicas (adesão – </w:t>
      </w:r>
      <w:r w:rsidR="003E1000">
        <w:rPr>
          <w:rFonts w:ascii="Arial" w:hAnsi="Arial" w:cs="Arial"/>
          <w:sz w:val="24"/>
          <w:szCs w:val="24"/>
        </w:rPr>
        <w:t xml:space="preserve">psicologia e farmácia clínica). </w:t>
      </w:r>
    </w:p>
    <w:p w:rsidR="00F26452" w:rsidRDefault="00F26452" w:rsidP="00F26452">
      <w:pPr>
        <w:spacing w:after="0" w:line="360" w:lineRule="auto"/>
        <w:ind w:firstLine="568"/>
        <w:jc w:val="both"/>
        <w:rPr>
          <w:rFonts w:ascii="Arial" w:hAnsi="Arial" w:cs="Arial"/>
          <w:sz w:val="24"/>
          <w:szCs w:val="24"/>
        </w:rPr>
      </w:pPr>
      <w:r>
        <w:rPr>
          <w:rFonts w:ascii="Arial" w:hAnsi="Arial" w:cs="Arial"/>
          <w:sz w:val="24"/>
          <w:szCs w:val="24"/>
        </w:rPr>
        <w:t xml:space="preserve">Importante resaltar o </w:t>
      </w:r>
      <w:r w:rsidR="00AA002C" w:rsidRPr="003B7143">
        <w:rPr>
          <w:rFonts w:ascii="Arial" w:hAnsi="Arial" w:cs="Arial"/>
          <w:sz w:val="24"/>
          <w:szCs w:val="24"/>
        </w:rPr>
        <w:t xml:space="preserve">quantitativo de absenteísmos dos pacientes </w:t>
      </w:r>
      <w:r>
        <w:rPr>
          <w:rFonts w:ascii="Arial" w:hAnsi="Arial" w:cs="Arial"/>
          <w:sz w:val="24"/>
          <w:szCs w:val="24"/>
        </w:rPr>
        <w:t xml:space="preserve">que não vem na consulta agendada </w:t>
      </w:r>
      <w:r w:rsidR="00AA002C" w:rsidRPr="003B7143">
        <w:rPr>
          <w:rFonts w:ascii="Arial" w:hAnsi="Arial" w:cs="Arial"/>
          <w:sz w:val="24"/>
          <w:szCs w:val="24"/>
        </w:rPr>
        <w:t xml:space="preserve">e agenda disponibilizada ao município </w:t>
      </w:r>
      <w:r w:rsidR="001130C2" w:rsidRPr="003B7143">
        <w:rPr>
          <w:rFonts w:ascii="Arial" w:hAnsi="Arial" w:cs="Arial"/>
          <w:sz w:val="24"/>
          <w:szCs w:val="24"/>
        </w:rPr>
        <w:t xml:space="preserve">e </w:t>
      </w:r>
      <w:r w:rsidR="00AA002C" w:rsidRPr="003B7143">
        <w:rPr>
          <w:rFonts w:ascii="Arial" w:hAnsi="Arial" w:cs="Arial"/>
          <w:sz w:val="24"/>
          <w:szCs w:val="24"/>
        </w:rPr>
        <w:t xml:space="preserve">que </w:t>
      </w:r>
      <w:r w:rsidR="001130C2" w:rsidRPr="003B7143">
        <w:rPr>
          <w:rFonts w:ascii="Arial" w:hAnsi="Arial" w:cs="Arial"/>
          <w:sz w:val="24"/>
          <w:szCs w:val="24"/>
        </w:rPr>
        <w:t>por vezes não tem ocupação em sua totalidade</w:t>
      </w:r>
    </w:p>
    <w:p w:rsidR="001130C2" w:rsidRPr="003B7143" w:rsidRDefault="001130C2" w:rsidP="00F26452">
      <w:pPr>
        <w:spacing w:after="0" w:line="360" w:lineRule="auto"/>
        <w:ind w:firstLine="568"/>
        <w:jc w:val="both"/>
        <w:rPr>
          <w:rFonts w:ascii="Arial" w:hAnsi="Arial" w:cs="Arial"/>
          <w:sz w:val="24"/>
          <w:szCs w:val="24"/>
        </w:rPr>
      </w:pPr>
      <w:r w:rsidRPr="003B7143">
        <w:rPr>
          <w:rFonts w:ascii="Arial" w:hAnsi="Arial" w:cs="Arial"/>
          <w:sz w:val="24"/>
          <w:szCs w:val="24"/>
        </w:rPr>
        <w:t>O HDT vem promovendo ações na tentativa de garantir a adesão aos pacientes agendados, para que reduza o índice de pacientes faltosos,</w:t>
      </w:r>
      <w:r w:rsidR="006A1A76" w:rsidRPr="003B7143">
        <w:rPr>
          <w:rFonts w:ascii="Arial" w:hAnsi="Arial" w:cs="Arial"/>
          <w:sz w:val="24"/>
          <w:szCs w:val="24"/>
        </w:rPr>
        <w:t xml:space="preserve"> e</w:t>
      </w:r>
      <w:r w:rsidRPr="003B7143">
        <w:rPr>
          <w:rFonts w:ascii="Arial" w:hAnsi="Arial" w:cs="Arial"/>
          <w:sz w:val="24"/>
          <w:szCs w:val="24"/>
        </w:rPr>
        <w:t xml:space="preserve"> parcerias estão sendo trabalhadas para facilitar o acesso do paciente ao ambulatório</w:t>
      </w:r>
      <w:r w:rsidR="006A1A76" w:rsidRPr="003B7143">
        <w:rPr>
          <w:rFonts w:ascii="Arial" w:hAnsi="Arial" w:cs="Arial"/>
          <w:sz w:val="24"/>
          <w:szCs w:val="24"/>
        </w:rPr>
        <w:t>.</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lastRenderedPageBreak/>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354CDB" w:rsidRPr="003B7143"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21069F">
      <w:pPr>
        <w:spacing w:after="0" w:line="360" w:lineRule="auto"/>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lastRenderedPageBreak/>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860CAB" w:rsidRPr="003B7143" w:rsidRDefault="00860CAB" w:rsidP="000B7F66">
      <w:pPr>
        <w:spacing w:after="0" w:line="360" w:lineRule="auto"/>
        <w:jc w:val="both"/>
        <w:rPr>
          <w:rFonts w:ascii="Arial" w:hAnsi="Arial" w:cs="Arial"/>
          <w:i/>
          <w:sz w:val="24"/>
          <w:szCs w:val="24"/>
        </w:rPr>
      </w:pPr>
    </w:p>
    <w:p w:rsidR="0005522C" w:rsidRPr="003B7143" w:rsidRDefault="0005522C" w:rsidP="000B7F66">
      <w:pPr>
        <w:spacing w:after="0" w:line="360" w:lineRule="auto"/>
        <w:rPr>
          <w:rFonts w:ascii="Arial" w:hAnsi="Arial" w:cs="Arial"/>
          <w:sz w:val="24"/>
          <w:szCs w:val="24"/>
        </w:rPr>
      </w:pPr>
    </w:p>
    <w:p w:rsidR="0005522C"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 xml:space="preserve">Fórmula:   </w:t>
      </w:r>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w:t>
      </w:r>
      <w:proofErr w:type="spellStart"/>
      <w:r w:rsidR="00FA552F" w:rsidRPr="00AA247D">
        <w:rPr>
          <w:rFonts w:ascii="Arial" w:eastAsia="Times New Roman" w:hAnsi="Arial" w:cs="Arial"/>
          <w:i/>
          <w:u w:val="single"/>
          <w:lang w:eastAsia="pt-BR"/>
        </w:rPr>
        <w:t>ocupaçã</w:t>
      </w:r>
      <w:proofErr w:type="spellEnd"/>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lastRenderedPageBreak/>
        <w:drawing>
          <wp:inline distT="0" distB="0" distL="0" distR="0">
            <wp:extent cx="4724400" cy="1847850"/>
            <wp:effectExtent l="19050" t="0" r="19050"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FA552F" w:rsidRPr="003B7143" w:rsidRDefault="000B7F66" w:rsidP="000B7F66">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FA552F" w:rsidRPr="003B7143" w:rsidRDefault="00FA552F" w:rsidP="00B869B0">
      <w:pPr>
        <w:spacing w:after="0" w:line="360" w:lineRule="auto"/>
        <w:ind w:left="360"/>
        <w:rPr>
          <w:rFonts w:ascii="Arial" w:hAnsi="Arial" w:cs="Arial"/>
          <w:i/>
          <w:color w:val="1F497D" w:themeColor="text2"/>
          <w:sz w:val="24"/>
          <w:szCs w:val="24"/>
        </w:rPr>
      </w:pPr>
    </w:p>
    <w:p w:rsidR="000B7F66" w:rsidRDefault="00354CDB" w:rsidP="000B7F66">
      <w:pPr>
        <w:spacing w:after="0" w:line="360" w:lineRule="auto"/>
        <w:rPr>
          <w:rFonts w:ascii="Arial" w:hAnsi="Arial" w:cs="Arial"/>
          <w:b/>
          <w:color w:val="1F497D" w:themeColor="text2"/>
          <w:sz w:val="24"/>
          <w:szCs w:val="24"/>
        </w:rPr>
      </w:pPr>
      <w:r w:rsidRPr="002F5143">
        <w:rPr>
          <w:rFonts w:ascii="Arial" w:hAnsi="Arial" w:cs="Arial"/>
          <w:b/>
          <w:color w:val="1F497D" w:themeColor="text2"/>
          <w:sz w:val="24"/>
          <w:szCs w:val="24"/>
        </w:rPr>
        <w:t>Percentual de ocorrência de Rejeição no SIH ≤ 1%</w:t>
      </w:r>
    </w:p>
    <w:p w:rsidR="00932EFD" w:rsidRDefault="00932EFD" w:rsidP="00B869B0">
      <w:pPr>
        <w:spacing w:after="0" w:line="360" w:lineRule="auto"/>
        <w:rPr>
          <w:rFonts w:ascii="Arial" w:hAnsi="Arial" w:cs="Arial"/>
          <w:sz w:val="24"/>
          <w:szCs w:val="24"/>
        </w:rPr>
      </w:pPr>
    </w:p>
    <w:p w:rsidR="000B7F66" w:rsidRDefault="00932EFD" w:rsidP="00932EFD">
      <w:pPr>
        <w:spacing w:after="0" w:line="360" w:lineRule="auto"/>
        <w:jc w:val="center"/>
        <w:rPr>
          <w:rFonts w:ascii="Arial" w:hAnsi="Arial" w:cs="Arial"/>
          <w:sz w:val="24"/>
          <w:szCs w:val="24"/>
        </w:rPr>
      </w:pPr>
      <w:r w:rsidRPr="00932EFD">
        <w:rPr>
          <w:rFonts w:ascii="Arial" w:hAnsi="Arial" w:cs="Arial"/>
          <w:noProof/>
          <w:sz w:val="24"/>
          <w:szCs w:val="24"/>
          <w:lang w:eastAsia="pt-BR"/>
        </w:rPr>
        <w:drawing>
          <wp:inline distT="0" distB="0" distL="0" distR="0">
            <wp:extent cx="4314825" cy="1847850"/>
            <wp:effectExtent l="19050" t="0" r="9525" b="0"/>
            <wp:docPr id="4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3FA9" w:rsidRPr="003A3FA9" w:rsidRDefault="00932EFD" w:rsidP="003A3FA9">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3A3FA9" w:rsidRPr="003B7143" w:rsidRDefault="003A3FA9" w:rsidP="00932EFD">
      <w:pPr>
        <w:spacing w:after="0" w:line="360" w:lineRule="auto"/>
        <w:jc w:val="center"/>
        <w:rPr>
          <w:rFonts w:ascii="Arial" w:hAnsi="Arial" w:cs="Arial"/>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lastRenderedPageBreak/>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705350" cy="204787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o mesmo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4C104C" w:rsidRPr="003B7143" w:rsidRDefault="004C104C" w:rsidP="00B869B0">
      <w:pPr>
        <w:pStyle w:val="PargrafodaLista"/>
        <w:spacing w:after="0" w:line="360" w:lineRule="auto"/>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4C104C" w:rsidRPr="003B7143" w:rsidRDefault="004C104C" w:rsidP="007F6363">
      <w:pPr>
        <w:pStyle w:val="Ttulo1"/>
        <w:rPr>
          <w:rFonts w:ascii="Arial" w:hAnsi="Arial" w:cs="Arial"/>
          <w:color w:val="000000" w:themeColor="text1"/>
          <w:sz w:val="24"/>
          <w:szCs w:val="24"/>
        </w:rPr>
      </w:pPr>
      <w:bookmarkStart w:id="6" w:name="_Toc44681920"/>
      <w:r w:rsidRPr="003B7143">
        <w:rPr>
          <w:rFonts w:ascii="Arial" w:hAnsi="Arial" w:cs="Arial"/>
          <w:color w:val="000000" w:themeColor="text1"/>
          <w:sz w:val="24"/>
          <w:szCs w:val="24"/>
        </w:rPr>
        <w:t>AÇÕES E ATIVIDADES</w:t>
      </w:r>
      <w:bookmarkEnd w:id="6"/>
    </w:p>
    <w:p w:rsidR="007F6363" w:rsidRPr="00F7550D" w:rsidRDefault="007F6363" w:rsidP="007F6363">
      <w:pPr>
        <w:rPr>
          <w:rFonts w:ascii="Arial" w:hAnsi="Arial" w:cs="Arial"/>
          <w:color w:val="FF0000"/>
          <w:sz w:val="24"/>
          <w:szCs w:val="24"/>
        </w:rPr>
      </w:pPr>
    </w:p>
    <w:p w:rsidR="00337DC2" w:rsidRPr="0046122B" w:rsidRDefault="00536CB8" w:rsidP="0046122B">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428535" cy="7772400"/>
            <wp:effectExtent l="19050" t="0" r="715" b="0"/>
            <wp:docPr id="1" name="Imagem 1" descr="C:\Users\camilacrac\Downloads\WhatsApp Image 2020-06-10 at 10.59.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crac\Downloads\WhatsApp Image 2020-06-10 at 10.59.23 (1).jpeg"/>
                    <pic:cNvPicPr>
                      <a:picLocks noChangeAspect="1" noChangeArrowheads="1"/>
                    </pic:cNvPicPr>
                  </pic:nvPicPr>
                  <pic:blipFill>
                    <a:blip r:embed="rId24" cstate="print"/>
                    <a:srcRect/>
                    <a:stretch>
                      <a:fillRect/>
                    </a:stretch>
                  </pic:blipFill>
                  <pic:spPr bwMode="auto">
                    <a:xfrm>
                      <a:off x="0" y="0"/>
                      <a:ext cx="5427516" cy="7770941"/>
                    </a:xfrm>
                    <a:prstGeom prst="rect">
                      <a:avLst/>
                    </a:prstGeom>
                    <a:noFill/>
                    <a:ln w="9525">
                      <a:noFill/>
                      <a:miter lim="800000"/>
                      <a:headEnd/>
                      <a:tailEnd/>
                    </a:ln>
                  </pic:spPr>
                </pic:pic>
              </a:graphicData>
            </a:graphic>
          </wp:inline>
        </w:drawing>
      </w:r>
    </w:p>
    <w:sectPr w:rsidR="00337DC2" w:rsidRPr="0046122B" w:rsidSect="00A45846">
      <w:headerReference w:type="default" r:id="rId25"/>
      <w:footerReference w:type="default" r:id="rId26"/>
      <w:pgSz w:w="11906" w:h="16838"/>
      <w:pgMar w:top="1701" w:right="1134"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43E" w:rsidRDefault="00DF443E" w:rsidP="009B5447">
      <w:pPr>
        <w:spacing w:after="0" w:line="240" w:lineRule="auto"/>
      </w:pPr>
      <w:r>
        <w:separator/>
      </w:r>
    </w:p>
  </w:endnote>
  <w:endnote w:type="continuationSeparator" w:id="0">
    <w:p w:rsidR="00DF443E" w:rsidRDefault="00DF443E"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DF443E" w:rsidRDefault="00EE116A">
        <w:pPr>
          <w:pStyle w:val="Rodap"/>
          <w:jc w:val="right"/>
        </w:pPr>
        <w:fldSimple w:instr="PAGE   \* MERGEFORMAT">
          <w:r w:rsidR="00A45846">
            <w:rPr>
              <w:noProof/>
            </w:rPr>
            <w:t>3</w:t>
          </w:r>
        </w:fldSimple>
      </w:p>
    </w:sdtContent>
  </w:sdt>
  <w:p w:rsidR="00DF443E" w:rsidRDefault="00DF443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43E" w:rsidRDefault="00DF443E" w:rsidP="009B5447">
      <w:pPr>
        <w:spacing w:after="0" w:line="240" w:lineRule="auto"/>
      </w:pPr>
      <w:r>
        <w:separator/>
      </w:r>
    </w:p>
  </w:footnote>
  <w:footnote w:type="continuationSeparator" w:id="0">
    <w:p w:rsidR="00DF443E" w:rsidRDefault="00DF443E"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43E" w:rsidRDefault="00DF443E">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DF443E" w:rsidRDefault="00DF443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43E" w:rsidRDefault="00DF443E">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DF443E" w:rsidRDefault="00DF443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7041">
      <o:colormenu v:ext="edit" strokecolor="none"/>
    </o:shapedefaults>
  </w:hdrShapeDefaults>
  <w:footnotePr>
    <w:footnote w:id="-1"/>
    <w:footnote w:id="0"/>
  </w:footnotePr>
  <w:endnotePr>
    <w:endnote w:id="-1"/>
    <w:endnote w:id="0"/>
  </w:endnotePr>
  <w:compat/>
  <w:rsids>
    <w:rsidRoot w:val="009B5447"/>
    <w:rsid w:val="00005B31"/>
    <w:rsid w:val="0001256A"/>
    <w:rsid w:val="00014395"/>
    <w:rsid w:val="00024DDB"/>
    <w:rsid w:val="000305F7"/>
    <w:rsid w:val="000320EC"/>
    <w:rsid w:val="0003451C"/>
    <w:rsid w:val="00041579"/>
    <w:rsid w:val="00045D24"/>
    <w:rsid w:val="000548D3"/>
    <w:rsid w:val="0005522C"/>
    <w:rsid w:val="00055927"/>
    <w:rsid w:val="00070ADC"/>
    <w:rsid w:val="00077036"/>
    <w:rsid w:val="00077AE1"/>
    <w:rsid w:val="00085DDA"/>
    <w:rsid w:val="0008643C"/>
    <w:rsid w:val="000A47ED"/>
    <w:rsid w:val="000A6838"/>
    <w:rsid w:val="000B413C"/>
    <w:rsid w:val="000B7F66"/>
    <w:rsid w:val="000C0B1D"/>
    <w:rsid w:val="000D0A29"/>
    <w:rsid w:val="000D0EE8"/>
    <w:rsid w:val="000D6F93"/>
    <w:rsid w:val="000D785D"/>
    <w:rsid w:val="000E7156"/>
    <w:rsid w:val="00104CC4"/>
    <w:rsid w:val="001063FB"/>
    <w:rsid w:val="001130C2"/>
    <w:rsid w:val="0011567F"/>
    <w:rsid w:val="001363F4"/>
    <w:rsid w:val="00141F99"/>
    <w:rsid w:val="00147152"/>
    <w:rsid w:val="00151AD5"/>
    <w:rsid w:val="00153B10"/>
    <w:rsid w:val="00157CAD"/>
    <w:rsid w:val="00160C6E"/>
    <w:rsid w:val="00161CBB"/>
    <w:rsid w:val="001668E3"/>
    <w:rsid w:val="0016753B"/>
    <w:rsid w:val="0017315C"/>
    <w:rsid w:val="00175141"/>
    <w:rsid w:val="00176E0A"/>
    <w:rsid w:val="001904B2"/>
    <w:rsid w:val="0019433C"/>
    <w:rsid w:val="00196172"/>
    <w:rsid w:val="00197C16"/>
    <w:rsid w:val="001A6D04"/>
    <w:rsid w:val="001C398B"/>
    <w:rsid w:val="001D014F"/>
    <w:rsid w:val="001E0510"/>
    <w:rsid w:val="001F0B1B"/>
    <w:rsid w:val="00200923"/>
    <w:rsid w:val="0021069F"/>
    <w:rsid w:val="00210B32"/>
    <w:rsid w:val="002432D9"/>
    <w:rsid w:val="0025705F"/>
    <w:rsid w:val="00261CAF"/>
    <w:rsid w:val="0027744B"/>
    <w:rsid w:val="00277558"/>
    <w:rsid w:val="00297C50"/>
    <w:rsid w:val="002A2CA9"/>
    <w:rsid w:val="002D0628"/>
    <w:rsid w:val="002D18FF"/>
    <w:rsid w:val="002D6C53"/>
    <w:rsid w:val="002E1513"/>
    <w:rsid w:val="002E1A7C"/>
    <w:rsid w:val="002E4C90"/>
    <w:rsid w:val="002F5143"/>
    <w:rsid w:val="003101E0"/>
    <w:rsid w:val="00312642"/>
    <w:rsid w:val="00314AFE"/>
    <w:rsid w:val="00323913"/>
    <w:rsid w:val="00330B11"/>
    <w:rsid w:val="00337DC2"/>
    <w:rsid w:val="0034152E"/>
    <w:rsid w:val="00344CC1"/>
    <w:rsid w:val="00354CDB"/>
    <w:rsid w:val="00355AA3"/>
    <w:rsid w:val="00364925"/>
    <w:rsid w:val="00371D05"/>
    <w:rsid w:val="0037696D"/>
    <w:rsid w:val="003A3FA9"/>
    <w:rsid w:val="003B7143"/>
    <w:rsid w:val="003C4C4C"/>
    <w:rsid w:val="003D22D9"/>
    <w:rsid w:val="003D6C5B"/>
    <w:rsid w:val="003E1000"/>
    <w:rsid w:val="003E34AD"/>
    <w:rsid w:val="003F18B8"/>
    <w:rsid w:val="00403D5C"/>
    <w:rsid w:val="0041174D"/>
    <w:rsid w:val="00412042"/>
    <w:rsid w:val="00414848"/>
    <w:rsid w:val="00424D5B"/>
    <w:rsid w:val="00430FF8"/>
    <w:rsid w:val="0046122B"/>
    <w:rsid w:val="00470F00"/>
    <w:rsid w:val="00486B07"/>
    <w:rsid w:val="00491E6D"/>
    <w:rsid w:val="004926F2"/>
    <w:rsid w:val="00492D90"/>
    <w:rsid w:val="004943FD"/>
    <w:rsid w:val="004945E2"/>
    <w:rsid w:val="004A039C"/>
    <w:rsid w:val="004A6816"/>
    <w:rsid w:val="004B096C"/>
    <w:rsid w:val="004C05B2"/>
    <w:rsid w:val="004C104C"/>
    <w:rsid w:val="004C1DAB"/>
    <w:rsid w:val="004C5824"/>
    <w:rsid w:val="004D2CEC"/>
    <w:rsid w:val="004E3A1D"/>
    <w:rsid w:val="004F0E4F"/>
    <w:rsid w:val="005007D4"/>
    <w:rsid w:val="00501BDD"/>
    <w:rsid w:val="00502425"/>
    <w:rsid w:val="00510B83"/>
    <w:rsid w:val="00511610"/>
    <w:rsid w:val="005130EE"/>
    <w:rsid w:val="00514ED0"/>
    <w:rsid w:val="0052374D"/>
    <w:rsid w:val="005346CA"/>
    <w:rsid w:val="00536052"/>
    <w:rsid w:val="00536CB8"/>
    <w:rsid w:val="00541111"/>
    <w:rsid w:val="00555219"/>
    <w:rsid w:val="00566268"/>
    <w:rsid w:val="0059725D"/>
    <w:rsid w:val="005A0371"/>
    <w:rsid w:val="005B2F55"/>
    <w:rsid w:val="005B6D25"/>
    <w:rsid w:val="005D141A"/>
    <w:rsid w:val="005D5AD6"/>
    <w:rsid w:val="005F0025"/>
    <w:rsid w:val="005F09FE"/>
    <w:rsid w:val="005F295C"/>
    <w:rsid w:val="005F5621"/>
    <w:rsid w:val="0060213E"/>
    <w:rsid w:val="006047E6"/>
    <w:rsid w:val="00612978"/>
    <w:rsid w:val="006250B8"/>
    <w:rsid w:val="00634BD9"/>
    <w:rsid w:val="00635895"/>
    <w:rsid w:val="00652B09"/>
    <w:rsid w:val="00667458"/>
    <w:rsid w:val="00672C42"/>
    <w:rsid w:val="00672EC9"/>
    <w:rsid w:val="00682A29"/>
    <w:rsid w:val="00682D93"/>
    <w:rsid w:val="00690AA7"/>
    <w:rsid w:val="006A1A76"/>
    <w:rsid w:val="006A47B7"/>
    <w:rsid w:val="006B5F47"/>
    <w:rsid w:val="006B7D27"/>
    <w:rsid w:val="006E09DD"/>
    <w:rsid w:val="006E1D7C"/>
    <w:rsid w:val="00701738"/>
    <w:rsid w:val="00703ADE"/>
    <w:rsid w:val="007122D9"/>
    <w:rsid w:val="00716A20"/>
    <w:rsid w:val="007252AE"/>
    <w:rsid w:val="0073465C"/>
    <w:rsid w:val="00740FE1"/>
    <w:rsid w:val="007440FE"/>
    <w:rsid w:val="0075359B"/>
    <w:rsid w:val="007720F4"/>
    <w:rsid w:val="00782864"/>
    <w:rsid w:val="00785361"/>
    <w:rsid w:val="00794EDD"/>
    <w:rsid w:val="00797F44"/>
    <w:rsid w:val="007B695E"/>
    <w:rsid w:val="007C2A0E"/>
    <w:rsid w:val="007C4756"/>
    <w:rsid w:val="007D15E7"/>
    <w:rsid w:val="007D301F"/>
    <w:rsid w:val="007D52E4"/>
    <w:rsid w:val="007E5218"/>
    <w:rsid w:val="007F184A"/>
    <w:rsid w:val="007F3083"/>
    <w:rsid w:val="007F6363"/>
    <w:rsid w:val="00801DEF"/>
    <w:rsid w:val="008150EB"/>
    <w:rsid w:val="0081720B"/>
    <w:rsid w:val="00826A6E"/>
    <w:rsid w:val="0083591D"/>
    <w:rsid w:val="0084621F"/>
    <w:rsid w:val="00847534"/>
    <w:rsid w:val="00854CF2"/>
    <w:rsid w:val="0085601D"/>
    <w:rsid w:val="00860CAB"/>
    <w:rsid w:val="00861C8D"/>
    <w:rsid w:val="008642A1"/>
    <w:rsid w:val="00866275"/>
    <w:rsid w:val="00887923"/>
    <w:rsid w:val="00896CCD"/>
    <w:rsid w:val="008A4D59"/>
    <w:rsid w:val="008D29B1"/>
    <w:rsid w:val="008E0811"/>
    <w:rsid w:val="008E27B8"/>
    <w:rsid w:val="008E6D2A"/>
    <w:rsid w:val="008F2141"/>
    <w:rsid w:val="00913666"/>
    <w:rsid w:val="00916A50"/>
    <w:rsid w:val="009253ED"/>
    <w:rsid w:val="00932EFD"/>
    <w:rsid w:val="00946E2F"/>
    <w:rsid w:val="00957BBF"/>
    <w:rsid w:val="00964BCE"/>
    <w:rsid w:val="00972759"/>
    <w:rsid w:val="00985619"/>
    <w:rsid w:val="00985830"/>
    <w:rsid w:val="009947F5"/>
    <w:rsid w:val="009A6E2B"/>
    <w:rsid w:val="009B0AB6"/>
    <w:rsid w:val="009B0ABA"/>
    <w:rsid w:val="009B25D6"/>
    <w:rsid w:val="009B3F62"/>
    <w:rsid w:val="009B5447"/>
    <w:rsid w:val="009C1EF5"/>
    <w:rsid w:val="009D5909"/>
    <w:rsid w:val="009D7CAC"/>
    <w:rsid w:val="009E2E13"/>
    <w:rsid w:val="009E7309"/>
    <w:rsid w:val="009F0C0A"/>
    <w:rsid w:val="00A00E18"/>
    <w:rsid w:val="00A05009"/>
    <w:rsid w:val="00A216AF"/>
    <w:rsid w:val="00A27E0F"/>
    <w:rsid w:val="00A40A0F"/>
    <w:rsid w:val="00A45846"/>
    <w:rsid w:val="00A53655"/>
    <w:rsid w:val="00A57EE1"/>
    <w:rsid w:val="00A7132A"/>
    <w:rsid w:val="00A72AE1"/>
    <w:rsid w:val="00A737BF"/>
    <w:rsid w:val="00A759B9"/>
    <w:rsid w:val="00A93F6B"/>
    <w:rsid w:val="00A9411E"/>
    <w:rsid w:val="00A956FB"/>
    <w:rsid w:val="00A96138"/>
    <w:rsid w:val="00A96E4C"/>
    <w:rsid w:val="00AA002C"/>
    <w:rsid w:val="00AA247D"/>
    <w:rsid w:val="00AA49E1"/>
    <w:rsid w:val="00AB204C"/>
    <w:rsid w:val="00AB22E5"/>
    <w:rsid w:val="00AB58F5"/>
    <w:rsid w:val="00AD0651"/>
    <w:rsid w:val="00AD4182"/>
    <w:rsid w:val="00AE048A"/>
    <w:rsid w:val="00AF47D9"/>
    <w:rsid w:val="00AF7E36"/>
    <w:rsid w:val="00B1044C"/>
    <w:rsid w:val="00B169A5"/>
    <w:rsid w:val="00B2353E"/>
    <w:rsid w:val="00B27B65"/>
    <w:rsid w:val="00B4764F"/>
    <w:rsid w:val="00B50E84"/>
    <w:rsid w:val="00B51DAA"/>
    <w:rsid w:val="00B574D2"/>
    <w:rsid w:val="00B6256E"/>
    <w:rsid w:val="00B6475A"/>
    <w:rsid w:val="00B7346D"/>
    <w:rsid w:val="00B73B85"/>
    <w:rsid w:val="00B82CD1"/>
    <w:rsid w:val="00B869B0"/>
    <w:rsid w:val="00B92F07"/>
    <w:rsid w:val="00BC4FD4"/>
    <w:rsid w:val="00BC6926"/>
    <w:rsid w:val="00BE4B2E"/>
    <w:rsid w:val="00BF4C94"/>
    <w:rsid w:val="00C019CF"/>
    <w:rsid w:val="00C10014"/>
    <w:rsid w:val="00C1244C"/>
    <w:rsid w:val="00C151F6"/>
    <w:rsid w:val="00C341FF"/>
    <w:rsid w:val="00C3423D"/>
    <w:rsid w:val="00C3530E"/>
    <w:rsid w:val="00C41164"/>
    <w:rsid w:val="00C42D6F"/>
    <w:rsid w:val="00C54F9A"/>
    <w:rsid w:val="00C61ABA"/>
    <w:rsid w:val="00C64967"/>
    <w:rsid w:val="00C67787"/>
    <w:rsid w:val="00C726A7"/>
    <w:rsid w:val="00C77FBA"/>
    <w:rsid w:val="00C80908"/>
    <w:rsid w:val="00CB2EF5"/>
    <w:rsid w:val="00CB7159"/>
    <w:rsid w:val="00CC1746"/>
    <w:rsid w:val="00CC6068"/>
    <w:rsid w:val="00CD60D8"/>
    <w:rsid w:val="00CE3A9C"/>
    <w:rsid w:val="00D01A7B"/>
    <w:rsid w:val="00D0641E"/>
    <w:rsid w:val="00D10772"/>
    <w:rsid w:val="00D16654"/>
    <w:rsid w:val="00D30F98"/>
    <w:rsid w:val="00D61557"/>
    <w:rsid w:val="00D63D5D"/>
    <w:rsid w:val="00D749E2"/>
    <w:rsid w:val="00D74D22"/>
    <w:rsid w:val="00D75130"/>
    <w:rsid w:val="00D8141C"/>
    <w:rsid w:val="00D82037"/>
    <w:rsid w:val="00D83908"/>
    <w:rsid w:val="00D91309"/>
    <w:rsid w:val="00D92144"/>
    <w:rsid w:val="00D97EF1"/>
    <w:rsid w:val="00DA25E6"/>
    <w:rsid w:val="00DB3E31"/>
    <w:rsid w:val="00DB5EAB"/>
    <w:rsid w:val="00DB6C72"/>
    <w:rsid w:val="00DB75D9"/>
    <w:rsid w:val="00DC0D0B"/>
    <w:rsid w:val="00DC194B"/>
    <w:rsid w:val="00DC217F"/>
    <w:rsid w:val="00DC394E"/>
    <w:rsid w:val="00DC4704"/>
    <w:rsid w:val="00DC47FA"/>
    <w:rsid w:val="00DF0E8F"/>
    <w:rsid w:val="00DF443E"/>
    <w:rsid w:val="00E00DBD"/>
    <w:rsid w:val="00E10E13"/>
    <w:rsid w:val="00E20827"/>
    <w:rsid w:val="00E24754"/>
    <w:rsid w:val="00E24BC1"/>
    <w:rsid w:val="00E25B1F"/>
    <w:rsid w:val="00E35F48"/>
    <w:rsid w:val="00E3786C"/>
    <w:rsid w:val="00E4122C"/>
    <w:rsid w:val="00E5648D"/>
    <w:rsid w:val="00E6076C"/>
    <w:rsid w:val="00E67B69"/>
    <w:rsid w:val="00E74677"/>
    <w:rsid w:val="00E817EB"/>
    <w:rsid w:val="00E86EA4"/>
    <w:rsid w:val="00EB69CD"/>
    <w:rsid w:val="00EB7825"/>
    <w:rsid w:val="00ED1E6A"/>
    <w:rsid w:val="00EE0611"/>
    <w:rsid w:val="00EE116A"/>
    <w:rsid w:val="00EE371D"/>
    <w:rsid w:val="00EE3EC5"/>
    <w:rsid w:val="00EE47C1"/>
    <w:rsid w:val="00EF33BE"/>
    <w:rsid w:val="00F17BBA"/>
    <w:rsid w:val="00F211E8"/>
    <w:rsid w:val="00F26452"/>
    <w:rsid w:val="00F33C46"/>
    <w:rsid w:val="00F477EE"/>
    <w:rsid w:val="00F71E8F"/>
    <w:rsid w:val="00F7367B"/>
    <w:rsid w:val="00F7550D"/>
    <w:rsid w:val="00F75B4C"/>
    <w:rsid w:val="00F76E6C"/>
    <w:rsid w:val="00F8009A"/>
    <w:rsid w:val="00F95E35"/>
    <w:rsid w:val="00F96D7B"/>
    <w:rsid w:val="00FA552F"/>
    <w:rsid w:val="00FB75A2"/>
    <w:rsid w:val="00FD789D"/>
    <w:rsid w:val="00FD7AA6"/>
    <w:rsid w:val="00FF0563"/>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70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29"/>
  <c:chart>
    <c:title>
      <c:tx>
        <c:rich>
          <a:bodyPr/>
          <a:lstStyle/>
          <a:p>
            <a:pPr>
              <a:defRPr/>
            </a:pPr>
            <a:r>
              <a:rPr lang="pt-BR"/>
              <a:t>Nº de Leitos/ Unidade de Internação</a:t>
            </a:r>
          </a:p>
        </c:rich>
      </c:tx>
    </c:title>
    <c:plotArea>
      <c:layout/>
      <c:barChart>
        <c:barDir val="col"/>
        <c:grouping val="clustered"/>
        <c:ser>
          <c:idx val="0"/>
          <c:order val="0"/>
          <c:spPr>
            <a:solidFill>
              <a:schemeClr val="accent1"/>
            </a:solidFill>
          </c:spPr>
          <c:dPt>
            <c:idx val="6"/>
            <c:spPr>
              <a:solidFill>
                <a:srgbClr val="C00000"/>
              </a:solidFill>
            </c:spPr>
          </c:dPt>
          <c:dLbls>
            <c:spPr>
              <a:noFill/>
              <a:ln>
                <a:noFill/>
              </a:ln>
              <a:effectLst/>
            </c:spPr>
            <c:txPr>
              <a:bodyPr/>
              <a:lstStyle/>
              <a:p>
                <a:pPr>
                  <a:defRPr b="1"/>
                </a:pPr>
                <a:endParaRPr lang="pt-BR"/>
              </a:p>
            </c:txPr>
            <c:showVal val="1"/>
            <c:extLst>
              <c:ext xmlns:c15="http://schemas.microsoft.com/office/drawing/2012/chart" uri="{CE6537A1-D6FC-4f65-9D91-7224C49458BB}">
                <c15:layout/>
                <c15:showLeaderLines val="0"/>
              </c:ext>
            </c:extLst>
          </c:dLbls>
          <c:cat>
            <c:strRef>
              <c:f>Plan1!$A$3:$A$9</c:f>
              <c:strCache>
                <c:ptCount val="7"/>
                <c:pt idx="0">
                  <c:v>UTI Adulto</c:v>
                </c:pt>
                <c:pt idx="1">
                  <c:v>UTI Pediátrica</c:v>
                </c:pt>
                <c:pt idx="2">
                  <c:v>Emergênica</c:v>
                </c:pt>
                <c:pt idx="3">
                  <c:v>U. I. Aduto</c:v>
                </c:pt>
                <c:pt idx="4">
                  <c:v>U. I. Pediátrica</c:v>
                </c:pt>
                <c:pt idx="5">
                  <c:v>Hospital Dia</c:v>
                </c:pt>
                <c:pt idx="6">
                  <c:v>Total</c:v>
                </c:pt>
              </c:strCache>
            </c:strRef>
          </c:cat>
          <c:val>
            <c:numRef>
              <c:f>Plan1!$B$3:$B$9</c:f>
              <c:numCache>
                <c:formatCode>General</c:formatCode>
                <c:ptCount val="7"/>
                <c:pt idx="0">
                  <c:v>9</c:v>
                </c:pt>
                <c:pt idx="1">
                  <c:v>4</c:v>
                </c:pt>
                <c:pt idx="2">
                  <c:v>6</c:v>
                </c:pt>
                <c:pt idx="3">
                  <c:v>71</c:v>
                </c:pt>
                <c:pt idx="4">
                  <c:v>11</c:v>
                </c:pt>
                <c:pt idx="5">
                  <c:v>10</c:v>
                </c:pt>
                <c:pt idx="6">
                  <c:v>111</c:v>
                </c:pt>
              </c:numCache>
            </c:numRef>
          </c:val>
        </c:ser>
        <c:dLbls>
          <c:showVal val="1"/>
        </c:dLbls>
        <c:overlap val="-25"/>
        <c:axId val="34023296"/>
        <c:axId val="34024832"/>
      </c:barChart>
      <c:catAx>
        <c:axId val="34023296"/>
        <c:scaling>
          <c:orientation val="minMax"/>
        </c:scaling>
        <c:axPos val="b"/>
        <c:numFmt formatCode="General" sourceLinked="0"/>
        <c:majorTickMark val="none"/>
        <c:tickLblPos val="nextTo"/>
        <c:crossAx val="34024832"/>
        <c:crosses val="autoZero"/>
        <c:auto val="1"/>
        <c:lblAlgn val="ctr"/>
        <c:lblOffset val="100"/>
      </c:catAx>
      <c:valAx>
        <c:axId val="34024832"/>
        <c:scaling>
          <c:orientation val="minMax"/>
        </c:scaling>
        <c:delete val="1"/>
        <c:axPos val="l"/>
        <c:numFmt formatCode="General" sourceLinked="1"/>
        <c:majorTickMark val="none"/>
        <c:tickLblPos val="none"/>
        <c:crossAx val="34023296"/>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Média de Permanência Hospitalar (em dias) - 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13</c:v>
                </c:pt>
                <c:pt idx="1">
                  <c:v>10</c:v>
                </c:pt>
              </c:numCache>
            </c:numRef>
          </c:val>
        </c:ser>
        <c:axId val="95378432"/>
        <c:axId val="95400704"/>
      </c:barChart>
      <c:catAx>
        <c:axId val="95378432"/>
        <c:scaling>
          <c:orientation val="minMax"/>
        </c:scaling>
        <c:axPos val="b"/>
        <c:tickLblPos val="nextTo"/>
        <c:crossAx val="95400704"/>
        <c:crosses val="autoZero"/>
        <c:auto val="1"/>
        <c:lblAlgn val="ctr"/>
        <c:lblOffset val="100"/>
      </c:catAx>
      <c:valAx>
        <c:axId val="95400704"/>
        <c:scaling>
          <c:orientation val="minMax"/>
        </c:scaling>
        <c:delete val="1"/>
        <c:axPos val="l"/>
        <c:numFmt formatCode="0" sourceLinked="1"/>
        <c:tickLblPos val="none"/>
        <c:crossAx val="9537843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21</c:v>
                </c:pt>
                <c:pt idx="1">
                  <c:v>43</c:v>
                </c:pt>
              </c:numCache>
            </c:numRef>
          </c:val>
        </c:ser>
        <c:axId val="95535872"/>
        <c:axId val="95537408"/>
      </c:barChart>
      <c:catAx>
        <c:axId val="95535872"/>
        <c:scaling>
          <c:orientation val="minMax"/>
        </c:scaling>
        <c:axPos val="b"/>
        <c:tickLblPos val="nextTo"/>
        <c:crossAx val="95537408"/>
        <c:crosses val="autoZero"/>
        <c:auto val="1"/>
        <c:lblAlgn val="ctr"/>
        <c:lblOffset val="100"/>
      </c:catAx>
      <c:valAx>
        <c:axId val="95537408"/>
        <c:scaling>
          <c:orientation val="minMax"/>
        </c:scaling>
        <c:delete val="1"/>
        <c:axPos val="l"/>
        <c:numFmt formatCode="0" sourceLinked="1"/>
        <c:tickLblPos val="none"/>
        <c:crossAx val="9553587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Ocorrência de Rejeição no SIH Agosto 2019</a:t>
            </a:r>
            <a:endParaRPr lang="en-US"/>
          </a:p>
        </c:rich>
      </c:tx>
      <c:layout>
        <c:manualLayout>
          <c:xMode val="edge"/>
          <c:yMode val="edge"/>
          <c:x val="0.15646057487847156"/>
          <c:y val="4.1237113402061855E-2"/>
        </c:manualLayout>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Rejeições SCIH</c:v>
                </c:pt>
                <c:pt idx="1">
                  <c:v>Meta Contratual </c:v>
                </c:pt>
              </c:strCache>
            </c:strRef>
          </c:cat>
          <c:val>
            <c:numRef>
              <c:f>Plan1!$B$2:$B$3</c:f>
              <c:numCache>
                <c:formatCode>0</c:formatCode>
                <c:ptCount val="2"/>
                <c:pt idx="0" formatCode="0.00">
                  <c:v>0</c:v>
                </c:pt>
                <c:pt idx="1">
                  <c:v>1</c:v>
                </c:pt>
              </c:numCache>
            </c:numRef>
          </c:val>
        </c:ser>
        <c:axId val="95631616"/>
        <c:axId val="95633408"/>
      </c:barChart>
      <c:catAx>
        <c:axId val="95631616"/>
        <c:scaling>
          <c:orientation val="minMax"/>
        </c:scaling>
        <c:axPos val="b"/>
        <c:tickLblPos val="nextTo"/>
        <c:crossAx val="95633408"/>
        <c:crosses val="autoZero"/>
        <c:auto val="1"/>
        <c:lblAlgn val="ctr"/>
        <c:lblOffset val="100"/>
      </c:catAx>
      <c:valAx>
        <c:axId val="95633408"/>
        <c:scaling>
          <c:orientation val="minMax"/>
        </c:scaling>
        <c:delete val="1"/>
        <c:axPos val="l"/>
        <c:numFmt formatCode="0.00" sourceLinked="1"/>
        <c:tickLblPos val="none"/>
        <c:crossAx val="9563161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Uso Racional de Medicamentos - 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0.88</c:v>
                </c:pt>
                <c:pt idx="1">
                  <c:v>0.8</c:v>
                </c:pt>
              </c:numCache>
            </c:numRef>
          </c:val>
        </c:ser>
        <c:axId val="95694848"/>
        <c:axId val="95696384"/>
      </c:barChart>
      <c:catAx>
        <c:axId val="95694848"/>
        <c:scaling>
          <c:orientation val="minMax"/>
        </c:scaling>
        <c:axPos val="b"/>
        <c:tickLblPos val="nextTo"/>
        <c:crossAx val="95696384"/>
        <c:crosses val="autoZero"/>
        <c:auto val="1"/>
        <c:lblAlgn val="ctr"/>
        <c:lblOffset val="100"/>
      </c:catAx>
      <c:valAx>
        <c:axId val="95696384"/>
        <c:scaling>
          <c:orientation val="minMax"/>
        </c:scaling>
        <c:delete val="1"/>
        <c:axPos val="l"/>
        <c:numFmt formatCode="0%" sourceLinked="1"/>
        <c:tickLblPos val="none"/>
        <c:crossAx val="9569484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0.89</c:v>
                </c:pt>
                <c:pt idx="1">
                  <c:v>0.70000000000000018</c:v>
                </c:pt>
              </c:numCache>
            </c:numRef>
          </c:val>
        </c:ser>
        <c:axId val="95732864"/>
        <c:axId val="95734400"/>
      </c:barChart>
      <c:catAx>
        <c:axId val="95732864"/>
        <c:scaling>
          <c:orientation val="minMax"/>
        </c:scaling>
        <c:axPos val="b"/>
        <c:tickLblPos val="nextTo"/>
        <c:crossAx val="95734400"/>
        <c:crosses val="autoZero"/>
        <c:auto val="1"/>
        <c:lblAlgn val="ctr"/>
        <c:lblOffset val="100"/>
      </c:catAx>
      <c:valAx>
        <c:axId val="95734400"/>
        <c:scaling>
          <c:orientation val="minMax"/>
        </c:scaling>
        <c:delete val="1"/>
        <c:axPos val="l"/>
        <c:numFmt formatCode="0%" sourceLinked="1"/>
        <c:tickLblPos val="none"/>
        <c:crossAx val="957328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175</c:v>
                </c:pt>
                <c:pt idx="1">
                  <c:v>27</c:v>
                </c:pt>
                <c:pt idx="2">
                  <c:v>202</c:v>
                </c:pt>
                <c:pt idx="3">
                  <c:v>200</c:v>
                </c:pt>
              </c:numCache>
            </c:numRef>
          </c:val>
        </c:ser>
        <c:axId val="34057600"/>
        <c:axId val="34067584"/>
      </c:barChart>
      <c:catAx>
        <c:axId val="34057600"/>
        <c:scaling>
          <c:orientation val="minMax"/>
        </c:scaling>
        <c:axPos val="b"/>
        <c:tickLblPos val="nextTo"/>
        <c:crossAx val="34067584"/>
        <c:crosses val="autoZero"/>
        <c:auto val="1"/>
        <c:lblAlgn val="ctr"/>
        <c:lblOffset val="100"/>
      </c:catAx>
      <c:valAx>
        <c:axId val="34067584"/>
        <c:scaling>
          <c:orientation val="minMax"/>
        </c:scaling>
        <c:delete val="1"/>
        <c:axPos val="l"/>
        <c:numFmt formatCode="General" sourceLinked="1"/>
        <c:tickLblPos val="none"/>
        <c:crossAx val="340576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Atendimentos de Urgência e Emergência </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C00000"/>
            </a:solidFill>
          </c:spPr>
          <c:dPt>
            <c:idx val="0"/>
            <c:spPr>
              <a:solidFill>
                <a:srgbClr val="0070C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602</c:v>
                </c:pt>
                <c:pt idx="1">
                  <c:v>750</c:v>
                </c:pt>
              </c:numCache>
            </c:numRef>
          </c:val>
        </c:ser>
        <c:axId val="87680128"/>
        <c:axId val="87681664"/>
      </c:barChart>
      <c:catAx>
        <c:axId val="87680128"/>
        <c:scaling>
          <c:orientation val="minMax"/>
        </c:scaling>
        <c:axPos val="b"/>
        <c:tickLblPos val="nextTo"/>
        <c:crossAx val="87681664"/>
        <c:crosses val="autoZero"/>
        <c:auto val="1"/>
        <c:lblAlgn val="ctr"/>
        <c:lblOffset val="100"/>
      </c:catAx>
      <c:valAx>
        <c:axId val="87681664"/>
        <c:scaling>
          <c:orientation val="minMax"/>
        </c:scaling>
        <c:delete val="1"/>
        <c:axPos val="l"/>
        <c:numFmt formatCode="General" sourceLinked="1"/>
        <c:tickLblPos val="none"/>
        <c:crossAx val="8768012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Atendimentos </c:v>
                </c:pt>
                <c:pt idx="1">
                  <c:v>Meta Contratual </c:v>
                </c:pt>
              </c:strCache>
            </c:strRef>
          </c:cat>
          <c:val>
            <c:numRef>
              <c:f>Plan1!$B$2:$B$3</c:f>
              <c:numCache>
                <c:formatCode>General</c:formatCode>
                <c:ptCount val="2"/>
                <c:pt idx="0">
                  <c:v>278</c:v>
                </c:pt>
                <c:pt idx="1">
                  <c:v>100</c:v>
                </c:pt>
              </c:numCache>
            </c:numRef>
          </c:val>
        </c:ser>
        <c:axId val="88742912"/>
        <c:axId val="88765184"/>
      </c:barChart>
      <c:catAx>
        <c:axId val="88742912"/>
        <c:scaling>
          <c:orientation val="minMax"/>
        </c:scaling>
        <c:axPos val="b"/>
        <c:tickLblPos val="nextTo"/>
        <c:crossAx val="88765184"/>
        <c:crosses val="autoZero"/>
        <c:auto val="1"/>
        <c:lblAlgn val="ctr"/>
        <c:lblOffset val="100"/>
      </c:catAx>
      <c:valAx>
        <c:axId val="88765184"/>
        <c:scaling>
          <c:orientation val="minMax"/>
        </c:scaling>
        <c:delete val="1"/>
        <c:axPos val="l"/>
        <c:numFmt formatCode="General" sourceLinked="1"/>
        <c:tickLblPos val="none"/>
        <c:crossAx val="8874291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30</c:v>
                </c:pt>
                <c:pt idx="1">
                  <c:v>11</c:v>
                </c:pt>
                <c:pt idx="2">
                  <c:v>21</c:v>
                </c:pt>
                <c:pt idx="3">
                  <c:v>9</c:v>
                </c:pt>
                <c:pt idx="4">
                  <c:v>4</c:v>
                </c:pt>
                <c:pt idx="5">
                  <c:v>4</c:v>
                </c:pt>
                <c:pt idx="6">
                  <c:v>79</c:v>
                </c:pt>
              </c:numCache>
            </c:numRef>
          </c:val>
        </c:ser>
        <c:axId val="88786432"/>
        <c:axId val="88787968"/>
      </c:barChart>
      <c:catAx>
        <c:axId val="88786432"/>
        <c:scaling>
          <c:orientation val="minMax"/>
        </c:scaling>
        <c:axPos val="b"/>
        <c:tickLblPos val="nextTo"/>
        <c:txPr>
          <a:bodyPr/>
          <a:lstStyle/>
          <a:p>
            <a:pPr>
              <a:defRPr sz="800"/>
            </a:pPr>
            <a:endParaRPr lang="pt-BR"/>
          </a:p>
        </c:txPr>
        <c:crossAx val="88787968"/>
        <c:crosses val="autoZero"/>
        <c:auto val="1"/>
        <c:lblAlgn val="ctr"/>
        <c:lblOffset val="100"/>
      </c:catAx>
      <c:valAx>
        <c:axId val="88787968"/>
        <c:scaling>
          <c:orientation val="minMax"/>
        </c:scaling>
        <c:delete val="1"/>
        <c:axPos val="l"/>
        <c:numFmt formatCode="General" sourceLinked="1"/>
        <c:tickLblPos val="none"/>
        <c:crossAx val="887864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3593</c:v>
                </c:pt>
                <c:pt idx="1">
                  <c:v>391</c:v>
                </c:pt>
                <c:pt idx="2" formatCode="#,##0">
                  <c:v>3984</c:v>
                </c:pt>
                <c:pt idx="3" formatCode="#,##0">
                  <c:v>3700</c:v>
                </c:pt>
              </c:numCache>
            </c:numRef>
          </c:val>
        </c:ser>
        <c:axId val="94235648"/>
        <c:axId val="94237440"/>
      </c:barChart>
      <c:catAx>
        <c:axId val="94235648"/>
        <c:scaling>
          <c:orientation val="minMax"/>
        </c:scaling>
        <c:axPos val="b"/>
        <c:tickLblPos val="nextTo"/>
        <c:crossAx val="94237440"/>
        <c:crosses val="autoZero"/>
        <c:auto val="1"/>
        <c:lblAlgn val="ctr"/>
        <c:lblOffset val="100"/>
      </c:catAx>
      <c:valAx>
        <c:axId val="94237440"/>
        <c:scaling>
          <c:orientation val="minMax"/>
        </c:scaling>
        <c:delete val="1"/>
        <c:axPos val="l"/>
        <c:numFmt formatCode="#,##0" sourceLinked="1"/>
        <c:tickLblPos val="none"/>
        <c:crossAx val="9423564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SADT</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#,##0</c:formatCode>
                <c:ptCount val="9"/>
                <c:pt idx="0">
                  <c:v>17381</c:v>
                </c:pt>
                <c:pt idx="1">
                  <c:v>830</c:v>
                </c:pt>
                <c:pt idx="2" formatCode="General">
                  <c:v>14</c:v>
                </c:pt>
                <c:pt idx="3" formatCode="General">
                  <c:v>0</c:v>
                </c:pt>
                <c:pt idx="4" formatCode="General">
                  <c:v>35</c:v>
                </c:pt>
                <c:pt idx="5" formatCode="General">
                  <c:v>20</c:v>
                </c:pt>
                <c:pt idx="6" formatCode="General">
                  <c:v>0</c:v>
                </c:pt>
                <c:pt idx="7" formatCode="General">
                  <c:v>0</c:v>
                </c:pt>
                <c:pt idx="8">
                  <c:v>18280</c:v>
                </c:pt>
              </c:numCache>
            </c:numRef>
          </c:val>
        </c:ser>
        <c:axId val="94283264"/>
        <c:axId val="94284800"/>
      </c:barChart>
      <c:catAx>
        <c:axId val="94283264"/>
        <c:scaling>
          <c:orientation val="minMax"/>
        </c:scaling>
        <c:axPos val="b"/>
        <c:tickLblPos val="nextTo"/>
        <c:txPr>
          <a:bodyPr/>
          <a:lstStyle/>
          <a:p>
            <a:pPr>
              <a:defRPr sz="800"/>
            </a:pPr>
            <a:endParaRPr lang="pt-BR"/>
          </a:p>
        </c:txPr>
        <c:crossAx val="94284800"/>
        <c:crosses val="autoZero"/>
        <c:auto val="1"/>
        <c:lblAlgn val="ctr"/>
        <c:lblOffset val="100"/>
      </c:catAx>
      <c:valAx>
        <c:axId val="94284800"/>
        <c:scaling>
          <c:orientation val="minMax"/>
        </c:scaling>
        <c:delete val="1"/>
        <c:axPos val="l"/>
        <c:numFmt formatCode="#,##0" sourceLinked="1"/>
        <c:tickLblPos val="none"/>
        <c:crossAx val="9428326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Resultados Alcançados x Metas Contratadas </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Pt>
            <c:idx val="3"/>
            <c:spPr>
              <a:solidFill>
                <a:srgbClr val="C00000"/>
              </a:solidFill>
            </c:spPr>
          </c:dPt>
          <c:dPt>
            <c:idx val="5"/>
            <c:spPr>
              <a:solidFill>
                <a:srgbClr val="C00000"/>
              </a:solidFill>
            </c:spPr>
          </c:dPt>
          <c:dPt>
            <c:idx val="7"/>
            <c:spPr>
              <a:solidFill>
                <a:srgbClr val="C00000"/>
              </a:solidFill>
            </c:spPr>
          </c:dPt>
          <c:dLbls>
            <c:showVal val="1"/>
          </c:dLbls>
          <c:cat>
            <c:strRef>
              <c:f>Plan1!$A$2:$A$9</c:f>
              <c:strCache>
                <c:ptCount val="8"/>
                <c:pt idx="0">
                  <c:v>Saídas Faturadas </c:v>
                </c:pt>
                <c:pt idx="1">
                  <c:v>Meta Contratada </c:v>
                </c:pt>
                <c:pt idx="2">
                  <c:v>Urgência e Emergência </c:v>
                </c:pt>
                <c:pt idx="3">
                  <c:v>Meta Contratada </c:v>
                </c:pt>
                <c:pt idx="4">
                  <c:v>Hospital Dia </c:v>
                </c:pt>
                <c:pt idx="5">
                  <c:v>Meta Contratada </c:v>
                </c:pt>
                <c:pt idx="6">
                  <c:v>Ambulatório </c:v>
                </c:pt>
                <c:pt idx="7">
                  <c:v>Meta Contratada </c:v>
                </c:pt>
              </c:strCache>
            </c:strRef>
          </c:cat>
          <c:val>
            <c:numRef>
              <c:f>Plan1!$B$2:$B$9</c:f>
              <c:numCache>
                <c:formatCode>General</c:formatCode>
                <c:ptCount val="8"/>
                <c:pt idx="0" formatCode="#,##0">
                  <c:v>175</c:v>
                </c:pt>
                <c:pt idx="1">
                  <c:v>200</c:v>
                </c:pt>
                <c:pt idx="2">
                  <c:v>602</c:v>
                </c:pt>
                <c:pt idx="3">
                  <c:v>750</c:v>
                </c:pt>
                <c:pt idx="4">
                  <c:v>278</c:v>
                </c:pt>
                <c:pt idx="5">
                  <c:v>100</c:v>
                </c:pt>
                <c:pt idx="6" formatCode="#,##0">
                  <c:v>3984</c:v>
                </c:pt>
                <c:pt idx="7" formatCode="#,##0">
                  <c:v>3700</c:v>
                </c:pt>
              </c:numCache>
            </c:numRef>
          </c:val>
        </c:ser>
        <c:axId val="95465856"/>
        <c:axId val="95467392"/>
      </c:barChart>
      <c:catAx>
        <c:axId val="95465856"/>
        <c:scaling>
          <c:orientation val="minMax"/>
        </c:scaling>
        <c:axPos val="b"/>
        <c:tickLblPos val="nextTo"/>
        <c:txPr>
          <a:bodyPr/>
          <a:lstStyle/>
          <a:p>
            <a:pPr>
              <a:defRPr sz="800"/>
            </a:pPr>
            <a:endParaRPr lang="pt-BR"/>
          </a:p>
        </c:txPr>
        <c:crossAx val="95467392"/>
        <c:crosses val="autoZero"/>
        <c:auto val="1"/>
        <c:lblAlgn val="ctr"/>
        <c:lblOffset val="100"/>
      </c:catAx>
      <c:valAx>
        <c:axId val="95467392"/>
        <c:scaling>
          <c:orientation val="minMax"/>
        </c:scaling>
        <c:delete val="1"/>
        <c:axPos val="l"/>
        <c:numFmt formatCode="#,##0" sourceLinked="1"/>
        <c:tickLblPos val="none"/>
        <c:crossAx val="9546585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Agosto 2019</a:t>
            </a:r>
            <a:endParaRPr lang="en-US"/>
          </a:p>
        </c:rich>
      </c:tx>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0.93</c:v>
                </c:pt>
                <c:pt idx="1">
                  <c:v>0.8500000000000002</c:v>
                </c:pt>
              </c:numCache>
            </c:numRef>
          </c:val>
        </c:ser>
        <c:axId val="95364992"/>
        <c:axId val="95366528"/>
      </c:barChart>
      <c:catAx>
        <c:axId val="95364992"/>
        <c:scaling>
          <c:orientation val="minMax"/>
        </c:scaling>
        <c:axPos val="b"/>
        <c:tickLblPos val="nextTo"/>
        <c:crossAx val="95366528"/>
        <c:crosses val="autoZero"/>
        <c:auto val="1"/>
        <c:lblAlgn val="ctr"/>
        <c:lblOffset val="100"/>
      </c:catAx>
      <c:valAx>
        <c:axId val="95366528"/>
        <c:scaling>
          <c:orientation val="minMax"/>
        </c:scaling>
        <c:delete val="1"/>
        <c:axPos val="l"/>
        <c:numFmt formatCode="0%" sourceLinked="1"/>
        <c:tickLblPos val="none"/>
        <c:crossAx val="95364992"/>
        <c:crosses val="autoZero"/>
        <c:crossBetween val="between"/>
      </c:valAx>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2C010-96E1-4F93-8B65-BBA52217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21</Pages>
  <Words>2708</Words>
  <Characters>14628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43</cp:revision>
  <cp:lastPrinted>2019-10-15T20:20:00Z</cp:lastPrinted>
  <dcterms:created xsi:type="dcterms:W3CDTF">2020-07-03T18:22:00Z</dcterms:created>
  <dcterms:modified xsi:type="dcterms:W3CDTF">2020-07-08T16:38:00Z</dcterms:modified>
</cp:coreProperties>
</file>