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EE" w:rsidRPr="006B5F47" w:rsidRDefault="005130EE" w:rsidP="00B869B0">
      <w:pPr>
        <w:spacing w:after="0" w:line="360" w:lineRule="auto"/>
        <w:rPr>
          <w:rFonts w:ascii="Arial" w:hAnsi="Arial" w:cs="Arial"/>
        </w:rPr>
      </w:pPr>
    </w:p>
    <w:p w:rsidR="00EE47C1" w:rsidRPr="006B5F47" w:rsidRDefault="00EE47C1" w:rsidP="00B869B0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B2EF5" w:rsidRPr="006B5F47" w:rsidRDefault="00CB2EF5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B2EF5" w:rsidRPr="006B5F47" w:rsidRDefault="00680652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66.5pt;height:514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">
            <v:textbox>
              <w:txbxContent>
                <w:p w:rsidR="00B37D5D" w:rsidRDefault="00B37D5D" w:rsidP="00F87A2C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:rsidR="00B37D5D" w:rsidRPr="006B5F47" w:rsidRDefault="00B37D5D" w:rsidP="00F87A2C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</w:pPr>
                  <w:r w:rsidRPr="006B5F4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HOSPITAL ESTADUAL DE DOENÇAS TROPICAIS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DR. ANUAR AUAD - HDT</w:t>
                  </w:r>
                </w:p>
                <w:p w:rsidR="00B37D5D" w:rsidRDefault="00B37D5D" w:rsidP="00F87A2C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:rsidR="00B37D5D" w:rsidRPr="00652B09" w:rsidRDefault="00B37D5D" w:rsidP="00F87A2C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12</w:t>
                  </w:r>
                  <w:r w:rsidRPr="00652B09">
                    <w:rPr>
                      <w:rFonts w:ascii="Arial" w:hAnsi="Arial" w:cs="Arial"/>
                      <w:b/>
                      <w:sz w:val="36"/>
                      <w:szCs w:val="36"/>
                    </w:rPr>
                    <w:t>º Termo Aditivo ao Contrato de Gestão nº091/2012</w:t>
                  </w:r>
                </w:p>
                <w:p w:rsidR="00B37D5D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B37D5D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B37D5D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B37D5D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B37D5D" w:rsidRPr="00F87A2C" w:rsidRDefault="00B37D5D" w:rsidP="00F87A2C">
                  <w:pPr>
                    <w:jc w:val="center"/>
                    <w:rPr>
                      <w:rFonts w:ascii="Arial" w:hAnsi="Arial" w:cs="Arial"/>
                      <w:b/>
                      <w:color w:val="4F81BD" w:themeColor="accent1"/>
                      <w:sz w:val="36"/>
                      <w:szCs w:val="36"/>
                    </w:rPr>
                  </w:pPr>
                  <w:r w:rsidRPr="00F87A2C">
                    <w:rPr>
                      <w:rFonts w:ascii="Arial" w:hAnsi="Arial" w:cs="Arial"/>
                      <w:b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B37D5D" w:rsidRPr="00652B09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B37D5D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B37D5D" w:rsidRPr="00652B09" w:rsidRDefault="00B37D5D" w:rsidP="00F87A2C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Dezembro de 2020</w:t>
                  </w:r>
                </w:p>
              </w:txbxContent>
            </v:textbox>
          </v:shape>
        </w:pict>
      </w:r>
    </w:p>
    <w:p w:rsidR="00CB2EF5" w:rsidRPr="006B5F47" w:rsidRDefault="00CB2EF5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10B83" w:rsidRPr="006B5F47" w:rsidRDefault="00510B83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10B83" w:rsidRPr="006B5F47" w:rsidRDefault="00510B83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EE47C1" w:rsidRPr="006B5F47" w:rsidRDefault="00EE47C1" w:rsidP="00B869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E47C1" w:rsidRPr="006B5F47" w:rsidRDefault="00EE47C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502A30" w:rsidRDefault="00502A30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87A2C" w:rsidRPr="006B5F47" w:rsidRDefault="00F87A2C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  <w:b/>
        </w:rPr>
      </w:pPr>
      <w:r w:rsidRPr="000A60FC">
        <w:rPr>
          <w:rFonts w:ascii="Arial" w:hAnsi="Arial" w:cs="Arial"/>
          <w:b/>
        </w:rPr>
        <w:t>DIRETORIA CORPORATIVA INSTITUTO SÓCRATES GUANAES – ISG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  <w:b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 xml:space="preserve">Dr. André Mansur de Carvalho </w:t>
      </w:r>
      <w:proofErr w:type="spellStart"/>
      <w:r w:rsidRPr="000A60FC">
        <w:rPr>
          <w:rFonts w:ascii="Arial" w:hAnsi="Arial" w:cs="Arial"/>
        </w:rPr>
        <w:t>Guanaes</w:t>
      </w:r>
      <w:proofErr w:type="spellEnd"/>
      <w:r w:rsidRPr="000A60FC">
        <w:rPr>
          <w:rFonts w:ascii="Arial" w:hAnsi="Arial" w:cs="Arial"/>
        </w:rPr>
        <w:t xml:space="preserve"> Gomes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Fundador e Diretor-Presidente ISG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proofErr w:type="spellStart"/>
      <w:r w:rsidRPr="000A60FC">
        <w:rPr>
          <w:rFonts w:ascii="Arial" w:hAnsi="Arial" w:cs="Arial"/>
        </w:rPr>
        <w:t>Terêncio</w:t>
      </w:r>
      <w:proofErr w:type="spellEnd"/>
      <w:r w:rsidRPr="000A60FC">
        <w:rPr>
          <w:rFonts w:ascii="Arial" w:hAnsi="Arial" w:cs="Arial"/>
        </w:rPr>
        <w:t xml:space="preserve"> </w:t>
      </w:r>
      <w:proofErr w:type="spellStart"/>
      <w:r w:rsidRPr="000A60FC">
        <w:rPr>
          <w:rFonts w:ascii="Arial" w:hAnsi="Arial" w:cs="Arial"/>
        </w:rPr>
        <w:t>Sant’ana</w:t>
      </w:r>
      <w:proofErr w:type="spellEnd"/>
      <w:r w:rsidRPr="000A60FC">
        <w:rPr>
          <w:rFonts w:ascii="Arial" w:hAnsi="Arial" w:cs="Arial"/>
        </w:rPr>
        <w:t xml:space="preserve"> Costa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Diretor Financeiro ISG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Dr. José Maria da Costa Orlando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Diretor Técnico ISG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Aline Oliveira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0A60FC">
        <w:rPr>
          <w:rFonts w:ascii="Arial" w:hAnsi="Arial" w:cs="Arial"/>
        </w:rPr>
        <w:t>Diretora Administrativa ISG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  <w:b/>
        </w:rPr>
      </w:pPr>
      <w:r w:rsidRPr="000A60FC">
        <w:rPr>
          <w:rFonts w:ascii="Arial" w:hAnsi="Arial" w:cs="Arial"/>
          <w:b/>
        </w:rPr>
        <w:t>ESTRUTURA GESTORA DO HDT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  <w:b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Bruno Almeida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 xml:space="preserve">Diretor Geral 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 xml:space="preserve">Dra. Fernanda Pedrosa Torres 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Diretora Técnica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Camilla Costa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Gerente Operacional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Antônio Jorge Maciel</w:t>
      </w: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Gerente Administrativo</w:t>
      </w:r>
    </w:p>
    <w:p w:rsidR="001D044B" w:rsidRPr="000A60FC" w:rsidRDefault="001D044B" w:rsidP="001D044B">
      <w:pPr>
        <w:rPr>
          <w:rFonts w:ascii="Times New Roman" w:eastAsia="Times New Roman" w:hAnsi="Times New Roman" w:cs="Times New Roman"/>
        </w:rPr>
      </w:pPr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 xml:space="preserve">Gabriela </w:t>
      </w:r>
      <w:proofErr w:type="spellStart"/>
      <w:r w:rsidRPr="000A60FC">
        <w:rPr>
          <w:rFonts w:ascii="Arial" w:hAnsi="Arial" w:cs="Arial"/>
        </w:rPr>
        <w:t>Alvares</w:t>
      </w:r>
      <w:proofErr w:type="spellEnd"/>
    </w:p>
    <w:p w:rsidR="001D044B" w:rsidRPr="000A60FC" w:rsidRDefault="001D044B" w:rsidP="001D044B">
      <w:pPr>
        <w:tabs>
          <w:tab w:val="left" w:pos="-142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0A60FC">
        <w:rPr>
          <w:rFonts w:ascii="Arial" w:hAnsi="Arial" w:cs="Arial"/>
        </w:rPr>
        <w:t>Assessora da Diretora Técnica</w:t>
      </w:r>
    </w:p>
    <w:p w:rsidR="00F87A2C" w:rsidRDefault="00F87A2C" w:rsidP="00B869B0">
      <w:pPr>
        <w:spacing w:after="0" w:line="360" w:lineRule="auto"/>
        <w:rPr>
          <w:rFonts w:ascii="Arial" w:hAnsi="Arial" w:cs="Arial"/>
        </w:rPr>
      </w:pPr>
    </w:p>
    <w:p w:rsidR="00F87A2C" w:rsidRPr="006B5F47" w:rsidRDefault="00F87A2C" w:rsidP="00B869B0">
      <w:pPr>
        <w:spacing w:after="0" w:line="360" w:lineRule="auto"/>
        <w:rPr>
          <w:rFonts w:ascii="Arial" w:hAnsi="Arial" w:cs="Arial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98630659"/>
        <w:docPartObj>
          <w:docPartGallery w:val="Table of Contents"/>
          <w:docPartUnique/>
        </w:docPartObj>
      </w:sdtPr>
      <w:sdtContent>
        <w:p w:rsidR="00D46358" w:rsidRDefault="00D46358" w:rsidP="00D46358">
          <w:pPr>
            <w:pStyle w:val="CabealhodoSumrio"/>
            <w:jc w:val="center"/>
            <w:rPr>
              <w:rFonts w:ascii="Arial" w:hAnsi="Arial" w:cs="Arial"/>
              <w:color w:val="auto"/>
            </w:rPr>
          </w:pPr>
          <w:r w:rsidRPr="00D46358">
            <w:rPr>
              <w:rFonts w:ascii="Arial" w:hAnsi="Arial" w:cs="Arial"/>
              <w:color w:val="auto"/>
            </w:rPr>
            <w:t>Sumário</w:t>
          </w:r>
        </w:p>
        <w:p w:rsidR="00D46358" w:rsidRPr="00D46358" w:rsidRDefault="00D46358" w:rsidP="00D46358"/>
        <w:p w:rsidR="00D46358" w:rsidRDefault="00D46358" w:rsidP="00D46358">
          <w:pPr>
            <w:pStyle w:val="Sumrio1"/>
            <w:numPr>
              <w:ilvl w:val="0"/>
              <w:numId w:val="22"/>
            </w:numPr>
          </w:pPr>
          <w:r>
            <w:rPr>
              <w:b/>
            </w:rPr>
            <w:t>APRESENTAÇÃO</w:t>
          </w:r>
          <w:r>
            <w:ptab w:relativeTo="margin" w:alignment="right" w:leader="dot"/>
          </w:r>
          <w:r>
            <w:rPr>
              <w:b/>
            </w:rPr>
            <w:t>4</w:t>
          </w:r>
        </w:p>
        <w:p w:rsidR="00D46358" w:rsidRDefault="00D46358" w:rsidP="00D46358">
          <w:pPr>
            <w:pStyle w:val="Sumrio1"/>
            <w:numPr>
              <w:ilvl w:val="0"/>
              <w:numId w:val="22"/>
            </w:numPr>
          </w:pPr>
          <w:r>
            <w:rPr>
              <w:b/>
            </w:rPr>
            <w:t xml:space="preserve">IDENTIFICAÇÃO DA UNIDADE </w:t>
          </w:r>
          <w:r>
            <w:ptab w:relativeTo="margin" w:alignment="right" w:leader="dot"/>
          </w:r>
          <w:r>
            <w:rPr>
              <w:b/>
            </w:rPr>
            <w:t>5</w:t>
          </w:r>
        </w:p>
        <w:p w:rsidR="00D46358" w:rsidRPr="00D46358" w:rsidRDefault="00D46358" w:rsidP="00D46358">
          <w:pPr>
            <w:pStyle w:val="Sumrio2"/>
            <w:numPr>
              <w:ilvl w:val="0"/>
              <w:numId w:val="22"/>
            </w:numPr>
          </w:pPr>
          <w:r>
            <w:rPr>
              <w:b/>
            </w:rPr>
            <w:t xml:space="preserve">ATIVIDADES REALIZADAS PELO HDT </w:t>
          </w:r>
          <w:r>
            <w:ptab w:relativeTo="margin" w:alignment="right" w:leader="dot"/>
          </w:r>
          <w:r>
            <w:rPr>
              <w:b/>
            </w:rPr>
            <w:t>5</w:t>
          </w:r>
        </w:p>
        <w:p w:rsidR="00D46358" w:rsidRPr="00D46358" w:rsidRDefault="00D46358" w:rsidP="00D46358">
          <w:pPr>
            <w:pStyle w:val="Sumrio2"/>
            <w:numPr>
              <w:ilvl w:val="0"/>
              <w:numId w:val="22"/>
            </w:numPr>
          </w:pPr>
          <w:r>
            <w:rPr>
              <w:b/>
            </w:rPr>
            <w:t xml:space="preserve">METAS DE PRODUÇÃO E RESULTADOS ALCANÇADOS </w:t>
          </w:r>
          <w:r>
            <w:ptab w:relativeTo="margin" w:alignment="right" w:leader="dot"/>
          </w:r>
          <w:r>
            <w:rPr>
              <w:b/>
            </w:rPr>
            <w:t>1</w:t>
          </w:r>
          <w:r w:rsidR="00F713D6">
            <w:rPr>
              <w:b/>
            </w:rPr>
            <w:t>1</w:t>
          </w:r>
        </w:p>
        <w:p w:rsidR="00D46358" w:rsidRDefault="00D46358" w:rsidP="00D46358">
          <w:pPr>
            <w:pStyle w:val="Sumrio2"/>
            <w:numPr>
              <w:ilvl w:val="0"/>
              <w:numId w:val="22"/>
            </w:numPr>
            <w:rPr>
              <w:b/>
            </w:rPr>
          </w:pPr>
          <w:r>
            <w:rPr>
              <w:b/>
            </w:rPr>
            <w:t xml:space="preserve">METAS DE DESEMPENHO E RESULTADOS ALCANÇADOS </w:t>
          </w:r>
          <w:r>
            <w:ptab w:relativeTo="margin" w:alignment="right" w:leader="dot"/>
          </w:r>
          <w:r>
            <w:rPr>
              <w:b/>
            </w:rPr>
            <w:t>13</w:t>
          </w:r>
        </w:p>
        <w:p w:rsidR="00D46358" w:rsidRPr="00D46358" w:rsidRDefault="00D46358" w:rsidP="00D46358">
          <w:pPr>
            <w:pStyle w:val="Sumrio2"/>
            <w:numPr>
              <w:ilvl w:val="0"/>
              <w:numId w:val="22"/>
            </w:numPr>
          </w:pPr>
          <w:r>
            <w:rPr>
              <w:b/>
            </w:rPr>
            <w:t xml:space="preserve">AÇÕES E ATIVIDADES </w:t>
          </w:r>
          <w:r>
            <w:ptab w:relativeTo="margin" w:alignment="right" w:leader="dot"/>
          </w:r>
          <w:r>
            <w:rPr>
              <w:b/>
            </w:rPr>
            <w:t>19</w:t>
          </w:r>
        </w:p>
        <w:p w:rsidR="00D46358" w:rsidRPr="00D46358" w:rsidRDefault="00D46358" w:rsidP="00D46358"/>
        <w:p w:rsidR="00D46358" w:rsidRDefault="00D46358" w:rsidP="00D46358">
          <w:pPr>
            <w:pStyle w:val="Sumrio2"/>
            <w:ind w:left="720"/>
          </w:pPr>
        </w:p>
        <w:p w:rsidR="00D46358" w:rsidRDefault="00680652">
          <w:pPr>
            <w:pStyle w:val="Sumrio3"/>
            <w:ind w:left="446"/>
          </w:pPr>
        </w:p>
      </w:sdtContent>
    </w:sdt>
    <w:p w:rsidR="007F6363" w:rsidRPr="006B5F47" w:rsidRDefault="007F6363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634BD9" w:rsidRPr="006B5F47" w:rsidRDefault="00634BD9" w:rsidP="00B869B0">
      <w:pPr>
        <w:spacing w:after="0" w:line="360" w:lineRule="auto"/>
        <w:rPr>
          <w:rFonts w:ascii="Arial" w:hAnsi="Arial" w:cs="Arial"/>
        </w:rPr>
        <w:sectPr w:rsidR="00634BD9" w:rsidRPr="006B5F47" w:rsidSect="009B3F62">
          <w:headerReference w:type="default" r:id="rId8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8D29B1" w:rsidRPr="006B5F47" w:rsidRDefault="008D29B1" w:rsidP="00F87A2C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61BB" w:rsidRPr="00D46358" w:rsidRDefault="005961BB" w:rsidP="00F87A2C">
      <w:pPr>
        <w:pStyle w:val="NormalWeb"/>
        <w:numPr>
          <w:ilvl w:val="0"/>
          <w:numId w:val="18"/>
        </w:numPr>
        <w:spacing w:before="0" w:beforeAutospacing="0" w:after="0" w:line="360" w:lineRule="auto"/>
        <w:rPr>
          <w:rFonts w:ascii="Arial" w:hAnsi="Arial" w:cs="Arial"/>
          <w:b/>
        </w:rPr>
      </w:pPr>
      <w:r w:rsidRPr="00D46358">
        <w:rPr>
          <w:rFonts w:ascii="Arial" w:hAnsi="Arial" w:cs="Arial"/>
          <w:b/>
        </w:rPr>
        <w:t>APRESENTAÇÃO</w:t>
      </w:r>
    </w:p>
    <w:p w:rsidR="005961BB" w:rsidRPr="000A60FC" w:rsidRDefault="005961BB" w:rsidP="00F87A2C">
      <w:pPr>
        <w:pStyle w:val="NormalWeb"/>
        <w:spacing w:before="0" w:beforeAutospacing="0" w:after="0" w:line="360" w:lineRule="auto"/>
        <w:rPr>
          <w:rFonts w:ascii="Arial" w:hAnsi="Arial" w:cs="Arial"/>
          <w:b/>
          <w:sz w:val="22"/>
          <w:szCs w:val="22"/>
        </w:rPr>
      </w:pPr>
    </w:p>
    <w:p w:rsidR="005961BB" w:rsidRPr="00A565DF" w:rsidRDefault="005961BB" w:rsidP="006F0F9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565DF">
        <w:rPr>
          <w:rFonts w:ascii="Arial" w:hAnsi="Arial" w:cs="Arial"/>
          <w:sz w:val="24"/>
          <w:szCs w:val="24"/>
          <w:shd w:val="clear" w:color="auto" w:fill="FFFFFF"/>
        </w:rPr>
        <w:t>O Hospital Estadual de Doenças</w:t>
      </w:r>
      <w:r w:rsidRPr="00A565DF">
        <w:rPr>
          <w:rFonts w:ascii="Arial" w:hAnsi="Arial" w:cs="Arial"/>
          <w:sz w:val="24"/>
          <w:szCs w:val="24"/>
        </w:rPr>
        <w:t xml:space="preserve"> Tropicais Dr. </w:t>
      </w:r>
      <w:proofErr w:type="spellStart"/>
      <w:r w:rsidRPr="00A565DF">
        <w:rPr>
          <w:rFonts w:ascii="Arial" w:hAnsi="Arial" w:cs="Arial"/>
          <w:sz w:val="24"/>
          <w:szCs w:val="24"/>
        </w:rPr>
        <w:t>Anuar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65DF">
        <w:rPr>
          <w:rFonts w:ascii="Arial" w:hAnsi="Arial" w:cs="Arial"/>
          <w:sz w:val="24"/>
          <w:szCs w:val="24"/>
        </w:rPr>
        <w:t>Auad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– HDT é uma unidade de Ensino, Pesquisa e Extensão Universitária, referência no estado de Goiás para doenças infectocontagiosas e dermatológicas. </w:t>
      </w:r>
    </w:p>
    <w:p w:rsidR="005961BB" w:rsidRPr="00A565DF" w:rsidRDefault="005961BB" w:rsidP="006F0F9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Desde julho de 2012, após o contrato celebrado entre o estado de Goiás, por intermédio da Secretaria De Estado da Saúde, e o Instituto Sócrates </w:t>
      </w:r>
      <w:proofErr w:type="spellStart"/>
      <w:r w:rsidRPr="00A565DF">
        <w:rPr>
          <w:rFonts w:ascii="Arial" w:hAnsi="Arial" w:cs="Arial"/>
          <w:sz w:val="24"/>
          <w:szCs w:val="24"/>
          <w:shd w:val="clear" w:color="auto" w:fill="FFFFFF"/>
        </w:rPr>
        <w:t>Guanaes</w:t>
      </w:r>
      <w:proofErr w:type="spellEnd"/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 – ISG, o HDT é gerido por esta organização social que passou a ser responsável pelo gerenciamento, operacionalização e execução das ações e serviços de saúde da unidade.</w:t>
      </w:r>
    </w:p>
    <w:p w:rsidR="005961BB" w:rsidRPr="00A565DF" w:rsidRDefault="005961BB" w:rsidP="006F0F9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Nossa missão é garantir a assistência segura ao paciente em infectologia e dermatologia com qualidade, eficiência e excelência, promovendo conhecimento científico, trazendo como valores:</w:t>
      </w:r>
    </w:p>
    <w:p w:rsidR="005961BB" w:rsidRPr="00A565DF" w:rsidRDefault="005961BB" w:rsidP="006F0F9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Acolhimento e respeito a todos os usuários;</w:t>
      </w: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Gestão inovadora;</w:t>
      </w: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Ética e confiabilidade;</w:t>
      </w: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Comunicação e transparência;</w:t>
      </w: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Qualidade e segurança;</w:t>
      </w: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Sustentabilidade econômica e ambiental;</w:t>
      </w:r>
    </w:p>
    <w:p w:rsidR="005961BB" w:rsidRPr="00A565DF" w:rsidRDefault="005961BB" w:rsidP="006F0F94">
      <w:pPr>
        <w:pStyle w:val="PargrafodaLista"/>
        <w:numPr>
          <w:ilvl w:val="0"/>
          <w:numId w:val="2"/>
        </w:numPr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Entusiasmo e espírito de equipe.</w:t>
      </w:r>
    </w:p>
    <w:p w:rsidR="005961BB" w:rsidRPr="00A565DF" w:rsidRDefault="005961BB" w:rsidP="006F0F94">
      <w:pPr>
        <w:pStyle w:val="PargrafodaLista"/>
        <w:spacing w:after="0" w:line="360" w:lineRule="auto"/>
        <w:ind w:left="777" w:firstLine="709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6F0F9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Para fins de prestação de contas junto à sociedade e ao poder público, e em consonância com o </w:t>
      </w:r>
      <w:r w:rsidRPr="00A565DF">
        <w:rPr>
          <w:rFonts w:ascii="Arial" w:hAnsi="Arial" w:cs="Arial"/>
          <w:b/>
          <w:sz w:val="24"/>
          <w:szCs w:val="24"/>
          <w:shd w:val="clear" w:color="auto" w:fill="FFFFFF"/>
        </w:rPr>
        <w:t>Contrato de Gestão nº 091/2012</w:t>
      </w: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 e seus aditivos, este relatório apresenta informações necessárias para que a SES-GO analise o desempenho das atividades do HDT. </w:t>
      </w:r>
    </w:p>
    <w:p w:rsidR="005961BB" w:rsidRPr="00A565DF" w:rsidRDefault="005961BB" w:rsidP="006F0F9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Os dados que serão </w:t>
      </w:r>
      <w:r w:rsidRPr="00A565DF">
        <w:rPr>
          <w:rFonts w:ascii="Arial" w:hAnsi="Arial" w:cs="Arial"/>
          <w:sz w:val="24"/>
          <w:szCs w:val="24"/>
        </w:rPr>
        <w:t xml:space="preserve">apresentados foram extraídos </w:t>
      </w: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do banco de dados do sistema de gestão hospitalar interno, do Banco de Indicadores Hospitalares do HDT, além dos </w:t>
      </w:r>
      <w:r w:rsidRPr="00A565DF">
        <w:rPr>
          <w:rFonts w:ascii="Arial" w:hAnsi="Arial" w:cs="Arial"/>
          <w:sz w:val="24"/>
          <w:szCs w:val="24"/>
        </w:rPr>
        <w:t>censos estatísticos elaborados pelos colaboradores responsáveis de cada serviço,</w:t>
      </w: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 sendo submetidos à análise criteriosa que permite fundamentar e nortear decisões. </w:t>
      </w:r>
    </w:p>
    <w:p w:rsidR="005961BB" w:rsidRPr="00A565DF" w:rsidRDefault="005961BB" w:rsidP="00F87A2C">
      <w:pPr>
        <w:pStyle w:val="NormalWeb"/>
        <w:spacing w:before="0" w:beforeAutospacing="0" w:after="0" w:line="360" w:lineRule="auto"/>
        <w:ind w:firstLine="709"/>
        <w:jc w:val="both"/>
        <w:rPr>
          <w:rFonts w:ascii="Arial" w:hAnsi="Arial" w:cs="Arial"/>
        </w:rPr>
      </w:pPr>
    </w:p>
    <w:p w:rsidR="005961BB" w:rsidRPr="00A565DF" w:rsidRDefault="005961BB" w:rsidP="00F87A2C">
      <w:pPr>
        <w:pStyle w:val="Ttulo1"/>
        <w:numPr>
          <w:ilvl w:val="0"/>
          <w:numId w:val="1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565DF">
        <w:rPr>
          <w:rFonts w:ascii="Arial" w:hAnsi="Arial" w:cs="Arial"/>
          <w:color w:val="auto"/>
          <w:sz w:val="24"/>
          <w:szCs w:val="24"/>
        </w:rPr>
        <w:lastRenderedPageBreak/>
        <w:t xml:space="preserve">IDENTIFICAÇÃO DA UNIDADE </w:t>
      </w:r>
    </w:p>
    <w:p w:rsidR="005961BB" w:rsidRPr="00A565DF" w:rsidRDefault="005961BB" w:rsidP="00F87A2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6F0F94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b/>
          <w:sz w:val="24"/>
          <w:szCs w:val="24"/>
        </w:rPr>
        <w:t>Nome:</w:t>
      </w:r>
      <w:r w:rsidRPr="00A565DF">
        <w:rPr>
          <w:rFonts w:ascii="Arial" w:hAnsi="Arial" w:cs="Arial"/>
          <w:sz w:val="24"/>
          <w:szCs w:val="24"/>
        </w:rPr>
        <w:t xml:space="preserve"> Hospital Estadual de Doenças Tropicais Dr. </w:t>
      </w:r>
      <w:proofErr w:type="spellStart"/>
      <w:r w:rsidRPr="00A565DF">
        <w:rPr>
          <w:rFonts w:ascii="Arial" w:hAnsi="Arial" w:cs="Arial"/>
          <w:sz w:val="24"/>
          <w:szCs w:val="24"/>
        </w:rPr>
        <w:t>Anuar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65DF">
        <w:rPr>
          <w:rFonts w:ascii="Arial" w:hAnsi="Arial" w:cs="Arial"/>
          <w:sz w:val="24"/>
          <w:szCs w:val="24"/>
        </w:rPr>
        <w:t>Auad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- HDT</w:t>
      </w:r>
    </w:p>
    <w:p w:rsidR="005961BB" w:rsidRPr="00A565DF" w:rsidRDefault="005961BB" w:rsidP="006F0F94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b/>
          <w:sz w:val="24"/>
          <w:szCs w:val="24"/>
        </w:rPr>
        <w:t xml:space="preserve">CNES: </w:t>
      </w:r>
      <w:r w:rsidRPr="00A565DF">
        <w:rPr>
          <w:rFonts w:ascii="Arial" w:hAnsi="Arial" w:cs="Arial"/>
          <w:sz w:val="24"/>
          <w:szCs w:val="24"/>
        </w:rPr>
        <w:t>2506661</w:t>
      </w:r>
    </w:p>
    <w:p w:rsidR="005961BB" w:rsidRPr="00A565DF" w:rsidRDefault="005961BB" w:rsidP="006F0F94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565DF">
        <w:rPr>
          <w:rFonts w:ascii="Arial" w:hAnsi="Arial" w:cs="Arial"/>
          <w:b/>
          <w:sz w:val="24"/>
          <w:szCs w:val="24"/>
        </w:rPr>
        <w:t xml:space="preserve">Endereço: </w:t>
      </w: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Alameda do Contorno, 3556 - </w:t>
      </w:r>
      <w:proofErr w:type="gramStart"/>
      <w:r w:rsidRPr="00A565DF">
        <w:rPr>
          <w:rFonts w:ascii="Arial" w:hAnsi="Arial" w:cs="Arial"/>
          <w:sz w:val="24"/>
          <w:szCs w:val="24"/>
          <w:shd w:val="clear" w:color="auto" w:fill="FFFFFF"/>
        </w:rPr>
        <w:t>Jardim Bela</w:t>
      </w:r>
      <w:proofErr w:type="gramEnd"/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 Vista, Goiânia - GO, 74850-400.</w:t>
      </w:r>
    </w:p>
    <w:p w:rsidR="005961BB" w:rsidRPr="00A565DF" w:rsidRDefault="005961BB" w:rsidP="006F0F94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565DF">
        <w:rPr>
          <w:rFonts w:ascii="Arial" w:hAnsi="Arial" w:cs="Arial"/>
          <w:b/>
          <w:sz w:val="24"/>
          <w:szCs w:val="24"/>
          <w:shd w:val="clear" w:color="auto" w:fill="FFFFFF"/>
        </w:rPr>
        <w:t>Gerência da Unidade:</w:t>
      </w:r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 Instituto Sócrates </w:t>
      </w:r>
      <w:proofErr w:type="spellStart"/>
      <w:r w:rsidRPr="00A565DF">
        <w:rPr>
          <w:rFonts w:ascii="Arial" w:hAnsi="Arial" w:cs="Arial"/>
          <w:sz w:val="24"/>
          <w:szCs w:val="24"/>
          <w:shd w:val="clear" w:color="auto" w:fill="FFFFFF"/>
        </w:rPr>
        <w:t>Guanaes</w:t>
      </w:r>
      <w:proofErr w:type="spellEnd"/>
      <w:r w:rsidRPr="00A565DF">
        <w:rPr>
          <w:rFonts w:ascii="Arial" w:hAnsi="Arial" w:cs="Arial"/>
          <w:sz w:val="24"/>
          <w:szCs w:val="24"/>
          <w:shd w:val="clear" w:color="auto" w:fill="FFFFFF"/>
        </w:rPr>
        <w:t xml:space="preserve"> (ISG) – Contrato de Gestão nº 091/2012.</w:t>
      </w:r>
    </w:p>
    <w:p w:rsidR="005961BB" w:rsidRPr="00A565DF" w:rsidRDefault="005961BB" w:rsidP="00F87A2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961BB" w:rsidRPr="00A565DF" w:rsidRDefault="005961BB" w:rsidP="00F87A2C">
      <w:pPr>
        <w:pStyle w:val="Ttulo1"/>
        <w:numPr>
          <w:ilvl w:val="0"/>
          <w:numId w:val="1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565DF">
        <w:rPr>
          <w:rFonts w:ascii="Arial" w:hAnsi="Arial" w:cs="Arial"/>
          <w:color w:val="auto"/>
          <w:sz w:val="24"/>
          <w:szCs w:val="24"/>
        </w:rPr>
        <w:t>ATIVIDADES REALIZADAS PELO HDT</w:t>
      </w:r>
    </w:p>
    <w:p w:rsidR="005961BB" w:rsidRPr="00A565DF" w:rsidRDefault="005961BB" w:rsidP="00F87A2C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961BB" w:rsidRPr="00A565DF" w:rsidRDefault="005961BB" w:rsidP="00F87A2C">
      <w:pPr>
        <w:pStyle w:val="PargrafodaLista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65DF">
        <w:rPr>
          <w:rFonts w:ascii="Arial" w:hAnsi="Arial" w:cs="Arial"/>
          <w:b/>
          <w:sz w:val="24"/>
          <w:szCs w:val="24"/>
        </w:rPr>
        <w:t xml:space="preserve"> ASSISTÊNCIA HOSPITALAR - INTERNAÇÃO</w:t>
      </w:r>
    </w:p>
    <w:p w:rsidR="005961BB" w:rsidRPr="00A565DF" w:rsidRDefault="005961BB" w:rsidP="00F87A2C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961BB" w:rsidRPr="00A565DF" w:rsidRDefault="005961BB" w:rsidP="006F0F94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assistência à saúde prestada em regime de hospitalização compreende o conjunto de atendimentos oferecidos ao paciente desde a sua admissão no hospital até sua alta hospitalar. </w:t>
      </w:r>
    </w:p>
    <w:p w:rsidR="005961BB" w:rsidRPr="00A565DF" w:rsidRDefault="005961BB" w:rsidP="006F0F94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Os pacientes internados recebem atendimento clínico adequado às suas necessidades, incluindo assistência médica e multiprofissional, além de procedimentos necessários para obter ou completar o diagnóstico e as terapêuticas. </w:t>
      </w:r>
    </w:p>
    <w:p w:rsidR="005961BB" w:rsidRPr="00A565DF" w:rsidRDefault="005961BB" w:rsidP="006F0F94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Diante da Declaração da Organização Mundial de Saúde – OMS, em 11 de março de 2020, que decretou situação de pandemia no que se refere à infecção pelo novo </w:t>
      </w:r>
      <w:proofErr w:type="spellStart"/>
      <w:r w:rsidRPr="00A565DF">
        <w:rPr>
          <w:rFonts w:ascii="Arial" w:hAnsi="Arial" w:cs="Arial"/>
          <w:sz w:val="24"/>
          <w:szCs w:val="24"/>
        </w:rPr>
        <w:t>coronavírus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, o HDT instituiu ações em cumprimento </w:t>
      </w:r>
      <w:proofErr w:type="gramStart"/>
      <w:r w:rsidRPr="00A565DF">
        <w:rPr>
          <w:rFonts w:ascii="Arial" w:hAnsi="Arial" w:cs="Arial"/>
          <w:sz w:val="24"/>
          <w:szCs w:val="24"/>
        </w:rPr>
        <w:t>à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todas as determinações e orientações do Governo do Estado, por meio da Secretaria de Estado de Saúde de Goiás, e Governo Municipal, por meio da Secretaria Municipal da Saúde de Goiânia. </w:t>
      </w:r>
    </w:p>
    <w:p w:rsidR="005961BB" w:rsidRPr="00A565DF" w:rsidRDefault="005961BB" w:rsidP="006F0F94">
      <w:pPr>
        <w:spacing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Em Julho de 2020, </w:t>
      </w:r>
      <w:r w:rsidRPr="00A565DF">
        <w:rPr>
          <w:rFonts w:ascii="Arial" w:eastAsia="Times New Roman" w:hAnsi="Arial" w:cs="Arial"/>
          <w:sz w:val="24"/>
          <w:szCs w:val="24"/>
        </w:rPr>
        <w:t xml:space="preserve">introduziu-se </w:t>
      </w:r>
      <w:r w:rsidRPr="00A565DF">
        <w:rPr>
          <w:rFonts w:ascii="Arial" w:hAnsi="Arial" w:cs="Arial"/>
          <w:sz w:val="24"/>
          <w:szCs w:val="24"/>
        </w:rPr>
        <w:t xml:space="preserve">no HDT </w:t>
      </w:r>
      <w:r w:rsidRPr="00A565DF">
        <w:rPr>
          <w:rFonts w:ascii="Arial" w:eastAsia="Times New Roman" w:hAnsi="Arial" w:cs="Arial"/>
          <w:sz w:val="24"/>
          <w:szCs w:val="24"/>
        </w:rPr>
        <w:t>o Projeto Especial e Transitório para Implantaç</w:t>
      </w:r>
      <w:r w:rsidRPr="00A565DF">
        <w:rPr>
          <w:rFonts w:ascii="Arial" w:hAnsi="Arial" w:cs="Arial"/>
          <w:sz w:val="24"/>
          <w:szCs w:val="24"/>
        </w:rPr>
        <w:t xml:space="preserve">ão de 10 (dez) leitos críticos </w:t>
      </w:r>
      <w:r w:rsidRPr="00A565DF">
        <w:rPr>
          <w:rFonts w:ascii="Arial" w:eastAsia="Times New Roman" w:hAnsi="Arial" w:cs="Arial"/>
          <w:sz w:val="24"/>
          <w:szCs w:val="24"/>
        </w:rPr>
        <w:t xml:space="preserve">para atendimento de pacientes com sintomas respiratórios e/ou suspeita de infecção pelo novo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Coronavírus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. Diante disto, </w:t>
      </w:r>
      <w:r w:rsidRPr="00A565DF">
        <w:rPr>
          <w:rFonts w:ascii="Arial" w:hAnsi="Arial" w:cs="Arial"/>
          <w:sz w:val="24"/>
          <w:szCs w:val="24"/>
        </w:rPr>
        <w:t>as unidades de internação encontram-se distribuídas da seguinte maneira: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UTI Adulto: composta por </w:t>
      </w:r>
      <w:proofErr w:type="gramStart"/>
      <w:r w:rsidRPr="00A565DF">
        <w:rPr>
          <w:rFonts w:ascii="Arial" w:hAnsi="Arial" w:cs="Arial"/>
          <w:sz w:val="24"/>
          <w:szCs w:val="24"/>
        </w:rPr>
        <w:t>9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leitos de internação, sendo 4 leitos privativos para pacientes em precaução especial – isolamento;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UTI Pediátrica: composta por </w:t>
      </w:r>
      <w:proofErr w:type="gramStart"/>
      <w:r w:rsidRPr="00A565DF">
        <w:rPr>
          <w:rFonts w:ascii="Arial" w:hAnsi="Arial" w:cs="Arial"/>
          <w:sz w:val="24"/>
          <w:szCs w:val="24"/>
        </w:rPr>
        <w:t>4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leitos, sendo 2 para isolamento;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lastRenderedPageBreak/>
        <w:t xml:space="preserve">UTI COVID: composta de 10 leitos, sendo </w:t>
      </w:r>
      <w:proofErr w:type="gramStart"/>
      <w:r w:rsidRPr="00A565DF">
        <w:rPr>
          <w:rFonts w:ascii="Arial" w:hAnsi="Arial" w:cs="Arial"/>
          <w:sz w:val="24"/>
          <w:szCs w:val="24"/>
        </w:rPr>
        <w:t>6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</w:t>
      </w:r>
      <w:r w:rsidR="006F0F94">
        <w:rPr>
          <w:rFonts w:ascii="Arial" w:hAnsi="Arial" w:cs="Arial"/>
          <w:sz w:val="24"/>
          <w:szCs w:val="24"/>
        </w:rPr>
        <w:t>quartos</w:t>
      </w:r>
      <w:r w:rsidRPr="00A565DF">
        <w:rPr>
          <w:rFonts w:ascii="Arial" w:hAnsi="Arial" w:cs="Arial"/>
          <w:sz w:val="24"/>
          <w:szCs w:val="24"/>
        </w:rPr>
        <w:t xml:space="preserve"> privativos</w:t>
      </w:r>
      <w:r w:rsidR="006F0F94">
        <w:rPr>
          <w:rFonts w:ascii="Arial" w:hAnsi="Arial" w:cs="Arial"/>
          <w:sz w:val="24"/>
          <w:szCs w:val="24"/>
        </w:rPr>
        <w:t xml:space="preserve"> e</w:t>
      </w:r>
      <w:r w:rsidRPr="00A565DF">
        <w:rPr>
          <w:rFonts w:ascii="Arial" w:hAnsi="Arial" w:cs="Arial"/>
          <w:sz w:val="24"/>
          <w:szCs w:val="24"/>
        </w:rPr>
        <w:t xml:space="preserve"> 2 coorte; 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Emergência: possui </w:t>
      </w:r>
      <w:proofErr w:type="gramStart"/>
      <w:r w:rsidRPr="00A565DF">
        <w:rPr>
          <w:rFonts w:ascii="Arial" w:hAnsi="Arial" w:cs="Arial"/>
          <w:sz w:val="24"/>
          <w:szCs w:val="24"/>
        </w:rPr>
        <w:t>1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reanimação e 3 enfermarias duplas (6 leitos), com 3 consultórios para atendimento;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U. I. Adulto: é dividida em Ala A Adulto com </w:t>
      </w:r>
      <w:proofErr w:type="gramStart"/>
      <w:r w:rsidRPr="00A565DF">
        <w:rPr>
          <w:rFonts w:ascii="Arial" w:hAnsi="Arial" w:cs="Arial"/>
          <w:sz w:val="24"/>
          <w:szCs w:val="24"/>
        </w:rPr>
        <w:t>3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enfermarias (10 leitos), Ala B com 6 enfermarias duplas (12 leitos), Ala C com 16 enfermarias duplas (32 leitos), Ala D com 5 enfermarias (9 leitos), Ala E com 4 enfermarias duplas (8 leitos). 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U.I pediátrica: possui </w:t>
      </w:r>
      <w:proofErr w:type="gramStart"/>
      <w:r w:rsidRPr="00A565DF">
        <w:rPr>
          <w:rFonts w:ascii="Arial" w:hAnsi="Arial" w:cs="Arial"/>
          <w:sz w:val="24"/>
          <w:szCs w:val="24"/>
        </w:rPr>
        <w:t>4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enfermarias (11 leitos);</w:t>
      </w:r>
    </w:p>
    <w:p w:rsidR="005961BB" w:rsidRPr="00A565DF" w:rsidRDefault="005961BB" w:rsidP="006F0F94">
      <w:pPr>
        <w:pStyle w:val="PargrafodaLista"/>
        <w:numPr>
          <w:ilvl w:val="0"/>
          <w:numId w:val="12"/>
        </w:numPr>
        <w:spacing w:after="0" w:line="360" w:lineRule="auto"/>
        <w:ind w:left="1423" w:hanging="357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Hospital dia: possui 10 poltronas para atendimento.</w:t>
      </w:r>
    </w:p>
    <w:p w:rsidR="005961BB" w:rsidRPr="00A565DF" w:rsidRDefault="005961BB" w:rsidP="00F87A2C">
      <w:pPr>
        <w:pStyle w:val="PargrafodaLista"/>
        <w:spacing w:after="0" w:line="360" w:lineRule="auto"/>
        <w:ind w:left="1428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9750" cy="2152650"/>
            <wp:effectExtent l="19050" t="0" r="19050" b="0"/>
            <wp:docPr id="1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961BB" w:rsidRPr="00A565DF" w:rsidRDefault="005961BB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C6718E" w:rsidRPr="00A565DF" w:rsidRDefault="00C6718E" w:rsidP="00F87A2C">
      <w:pPr>
        <w:pStyle w:val="NormalWeb"/>
        <w:spacing w:before="0" w:beforeAutospacing="0" w:after="0" w:line="360" w:lineRule="auto"/>
        <w:rPr>
          <w:rFonts w:ascii="Arial" w:hAnsi="Arial" w:cs="Arial"/>
          <w:b/>
        </w:rPr>
      </w:pPr>
    </w:p>
    <w:p w:rsidR="00C6718E" w:rsidRPr="00A565DF" w:rsidRDefault="00C6718E" w:rsidP="00EA4AD5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O Hospital Dia recebe pacientes específicos do HDT,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717FA9" w:rsidRDefault="00717FA9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130116" w:rsidRDefault="00130116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130116" w:rsidRDefault="00130116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130116" w:rsidRDefault="00130116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130116" w:rsidRDefault="00130116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130116" w:rsidRPr="00A565DF" w:rsidRDefault="00130116" w:rsidP="00F87A2C">
      <w:pPr>
        <w:pStyle w:val="PargrafodaLista"/>
        <w:spacing w:after="0" w:line="360" w:lineRule="auto"/>
        <w:ind w:left="0" w:right="-144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pStyle w:val="PargrafodaLista"/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pStyle w:val="PargrafodaLista"/>
        <w:numPr>
          <w:ilvl w:val="1"/>
          <w:numId w:val="17"/>
        </w:numPr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A565DF">
        <w:rPr>
          <w:rFonts w:ascii="Arial" w:hAnsi="Arial" w:cs="Arial"/>
          <w:b/>
          <w:sz w:val="24"/>
          <w:szCs w:val="24"/>
        </w:rPr>
        <w:lastRenderedPageBreak/>
        <w:t xml:space="preserve"> CENTRO CIRÚRGICO</w:t>
      </w:r>
    </w:p>
    <w:p w:rsidR="005961BB" w:rsidRPr="00A565DF" w:rsidRDefault="005961BB" w:rsidP="00EA4AD5">
      <w:pPr>
        <w:pStyle w:val="NormalWeb"/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A565DF">
        <w:rPr>
          <w:rFonts w:ascii="Arial" w:hAnsi="Arial" w:cs="Arial"/>
        </w:rPr>
        <w:t xml:space="preserve">O Centro Cirúrgico contempla </w:t>
      </w:r>
      <w:proofErr w:type="gramStart"/>
      <w:r w:rsidRPr="00A565DF">
        <w:rPr>
          <w:rFonts w:ascii="Arial" w:hAnsi="Arial" w:cs="Arial"/>
        </w:rPr>
        <w:t>3</w:t>
      </w:r>
      <w:proofErr w:type="gramEnd"/>
      <w:r w:rsidRPr="00A565DF">
        <w:rPr>
          <w:rFonts w:ascii="Arial" w:hAnsi="Arial" w:cs="Arial"/>
        </w:rPr>
        <w:t xml:space="preserve"> salas cirúrgicas e 1 sala para recuperação pós Anestésica contendo 2 leitos. A estrutura ainda conta com outros locais de apoio como: hall de entrada de pacientes; sala para depósito de material de limpeza, vestiários e expurgo. </w:t>
      </w:r>
    </w:p>
    <w:p w:rsidR="005961BB" w:rsidRPr="00A565DF" w:rsidRDefault="005961BB" w:rsidP="00F87A2C">
      <w:pPr>
        <w:pStyle w:val="NormalWeb"/>
        <w:spacing w:line="360" w:lineRule="auto"/>
        <w:ind w:left="720" w:right="-286"/>
        <w:jc w:val="both"/>
        <w:rPr>
          <w:rFonts w:ascii="Arial" w:hAnsi="Arial" w:cs="Arial"/>
        </w:rPr>
      </w:pPr>
      <w:r w:rsidRPr="00A565DF">
        <w:rPr>
          <w:rFonts w:ascii="Arial" w:hAnsi="Arial" w:cs="Arial"/>
          <w:noProof/>
        </w:rPr>
        <w:drawing>
          <wp:inline distT="0" distB="0" distL="114300" distR="114300">
            <wp:extent cx="2352010" cy="1913861"/>
            <wp:effectExtent l="1905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482" t="8238" b="17621"/>
                    <a:stretch>
                      <a:fillRect/>
                    </a:stretch>
                  </pic:blipFill>
                  <pic:spPr>
                    <a:xfrm>
                      <a:off x="0" y="0"/>
                      <a:ext cx="2352010" cy="191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5DF">
        <w:rPr>
          <w:rFonts w:ascii="Arial" w:hAnsi="Arial" w:cs="Arial"/>
          <w:noProof/>
        </w:rPr>
        <w:drawing>
          <wp:inline distT="0" distB="0" distL="114300" distR="114300">
            <wp:extent cx="2538918" cy="1924493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18918"/>
                    <a:stretch>
                      <a:fillRect/>
                    </a:stretch>
                  </pic:blipFill>
                  <pic:spPr>
                    <a:xfrm>
                      <a:off x="0" y="0"/>
                      <a:ext cx="2538917" cy="19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B" w:rsidRPr="00A565DF" w:rsidRDefault="005961BB" w:rsidP="00F87A2C">
      <w:pPr>
        <w:pStyle w:val="NormalWeb"/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A565DF">
        <w:rPr>
          <w:rFonts w:ascii="Arial" w:hAnsi="Arial" w:cs="Arial"/>
        </w:rPr>
        <w:t xml:space="preserve">São realizados procedimentos endoscópios e cirúrgicos de pequeno, médio e grande porte, em pacientes internados que necessitam de alguma intervenção cirúrgica. </w:t>
      </w:r>
    </w:p>
    <w:p w:rsidR="005961BB" w:rsidRPr="00A565DF" w:rsidRDefault="005961BB" w:rsidP="00F87A2C">
      <w:pPr>
        <w:pStyle w:val="NormalWeb"/>
        <w:spacing w:line="360" w:lineRule="auto"/>
        <w:ind w:firstLine="709"/>
        <w:contextualSpacing/>
        <w:jc w:val="both"/>
        <w:rPr>
          <w:rFonts w:ascii="Arial" w:hAnsi="Arial" w:cs="Arial"/>
        </w:rPr>
      </w:pPr>
    </w:p>
    <w:p w:rsidR="005961BB" w:rsidRPr="00A565DF" w:rsidRDefault="005961BB" w:rsidP="00F87A2C">
      <w:pPr>
        <w:pStyle w:val="NormalWeb"/>
        <w:keepNext/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A565DF">
        <w:rPr>
          <w:rFonts w:ascii="Arial" w:hAnsi="Arial" w:cs="Arial"/>
          <w:noProof/>
        </w:rPr>
        <w:drawing>
          <wp:inline distT="0" distB="0" distL="0" distR="0">
            <wp:extent cx="5019675" cy="2257425"/>
            <wp:effectExtent l="0" t="0" r="0" b="0"/>
            <wp:docPr id="1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61BB" w:rsidRPr="00EA4AD5" w:rsidRDefault="005961BB" w:rsidP="00F87A2C">
      <w:pPr>
        <w:pStyle w:val="Legenda"/>
        <w:spacing w:line="360" w:lineRule="auto"/>
        <w:jc w:val="right"/>
        <w:rPr>
          <w:rFonts w:ascii="Arial" w:hAnsi="Arial" w:cs="Arial"/>
          <w:b w:val="0"/>
          <w:color w:val="auto"/>
        </w:rPr>
      </w:pPr>
      <w:r w:rsidRPr="00EA4AD5">
        <w:rPr>
          <w:rFonts w:ascii="Arial" w:hAnsi="Arial" w:cs="Arial"/>
          <w:b w:val="0"/>
          <w:color w:val="auto"/>
        </w:rPr>
        <w:t>Fonte: Coordenação do Centro Cirúrgico - HDT</w:t>
      </w:r>
    </w:p>
    <w:p w:rsidR="005961BB" w:rsidRDefault="005961BB" w:rsidP="00F87A2C">
      <w:pPr>
        <w:pStyle w:val="NormalWeb"/>
        <w:spacing w:line="360" w:lineRule="auto"/>
        <w:contextualSpacing/>
        <w:jc w:val="both"/>
        <w:rPr>
          <w:rFonts w:ascii="Arial" w:hAnsi="Arial" w:cs="Arial"/>
        </w:rPr>
      </w:pPr>
    </w:p>
    <w:p w:rsidR="00130116" w:rsidRDefault="00130116" w:rsidP="00F87A2C">
      <w:pPr>
        <w:pStyle w:val="NormalWeb"/>
        <w:spacing w:line="360" w:lineRule="auto"/>
        <w:contextualSpacing/>
        <w:jc w:val="both"/>
        <w:rPr>
          <w:rFonts w:ascii="Arial" w:hAnsi="Arial" w:cs="Arial"/>
        </w:rPr>
      </w:pPr>
    </w:p>
    <w:p w:rsidR="00130116" w:rsidRDefault="00130116" w:rsidP="00F87A2C">
      <w:pPr>
        <w:pStyle w:val="NormalWeb"/>
        <w:spacing w:line="360" w:lineRule="auto"/>
        <w:contextualSpacing/>
        <w:jc w:val="both"/>
        <w:rPr>
          <w:rFonts w:ascii="Arial" w:hAnsi="Arial" w:cs="Arial"/>
        </w:rPr>
      </w:pPr>
    </w:p>
    <w:p w:rsidR="00130116" w:rsidRPr="00A565DF" w:rsidRDefault="00130116" w:rsidP="00F87A2C">
      <w:pPr>
        <w:pStyle w:val="NormalWeb"/>
        <w:spacing w:line="360" w:lineRule="auto"/>
        <w:contextualSpacing/>
        <w:jc w:val="both"/>
        <w:rPr>
          <w:rFonts w:ascii="Arial" w:hAnsi="Arial" w:cs="Arial"/>
        </w:rPr>
      </w:pPr>
    </w:p>
    <w:p w:rsidR="005961BB" w:rsidRPr="00A565DF" w:rsidRDefault="005961BB" w:rsidP="00F87A2C">
      <w:pPr>
        <w:pStyle w:val="PargrafodaLista"/>
        <w:numPr>
          <w:ilvl w:val="1"/>
          <w:numId w:val="17"/>
        </w:numPr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A565DF">
        <w:rPr>
          <w:rFonts w:ascii="Arial" w:hAnsi="Arial" w:cs="Arial"/>
          <w:b/>
          <w:sz w:val="24"/>
          <w:szCs w:val="24"/>
        </w:rPr>
        <w:lastRenderedPageBreak/>
        <w:t xml:space="preserve"> SERVIÇO DE APOIO DIAGNÓSTICO E TERAPÊUTICO</w:t>
      </w:r>
    </w:p>
    <w:p w:rsidR="005961BB" w:rsidRPr="00A565DF" w:rsidRDefault="005961BB" w:rsidP="00F87A2C">
      <w:pPr>
        <w:pStyle w:val="PargrafodaLista"/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5961BB" w:rsidRPr="00A565DF" w:rsidRDefault="005961BB" w:rsidP="00E214C7">
      <w:pPr>
        <w:pStyle w:val="PargrafodaLista"/>
        <w:spacing w:after="0" w:line="360" w:lineRule="auto"/>
        <w:ind w:left="0" w:right="-142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 hospital conta com equipamentos, insumos e equipe de profissionais especializados e capacitados para executar suas atividades com qualidade, agilidade e compromisso que o serviço demanda. Os colaboradores trabalham com segurança e responsabilidade, buscando atender as expectativas dos clientes internos e externos.  </w:t>
      </w:r>
    </w:p>
    <w:p w:rsidR="005961BB" w:rsidRPr="00A565DF" w:rsidRDefault="005961BB" w:rsidP="00E214C7">
      <w:pPr>
        <w:pStyle w:val="PargrafodaLista"/>
        <w:spacing w:after="0" w:line="360" w:lineRule="auto"/>
        <w:ind w:left="0" w:right="-142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 serviço de </w:t>
      </w:r>
      <w:proofErr w:type="spellStart"/>
      <w:r w:rsidRPr="00A565DF">
        <w:rPr>
          <w:rFonts w:ascii="Arial" w:hAnsi="Arial" w:cs="Arial"/>
          <w:sz w:val="24"/>
          <w:szCs w:val="24"/>
        </w:rPr>
        <w:t>imaginologia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do HDT oferece os seguintes exames para os pacientes: Tomografia Computadorizada, Radiografia, Ultrassonografia, </w:t>
      </w:r>
      <w:proofErr w:type="spellStart"/>
      <w:r w:rsidRPr="00A565DF">
        <w:rPr>
          <w:rFonts w:ascii="Arial" w:hAnsi="Arial" w:cs="Arial"/>
          <w:sz w:val="24"/>
          <w:szCs w:val="24"/>
        </w:rPr>
        <w:t>Ecocardiograma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65DF">
        <w:rPr>
          <w:rFonts w:ascii="Arial" w:hAnsi="Arial" w:cs="Arial"/>
          <w:sz w:val="24"/>
          <w:szCs w:val="24"/>
        </w:rPr>
        <w:t>Transtorácico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, e </w:t>
      </w:r>
      <w:proofErr w:type="spellStart"/>
      <w:r w:rsidRPr="00A565DF">
        <w:rPr>
          <w:rFonts w:ascii="Arial" w:hAnsi="Arial" w:cs="Arial"/>
          <w:sz w:val="24"/>
          <w:szCs w:val="24"/>
        </w:rPr>
        <w:t>Elastografia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Hepática (</w:t>
      </w:r>
      <w:proofErr w:type="spellStart"/>
      <w:r w:rsidRPr="00A565DF">
        <w:rPr>
          <w:rFonts w:ascii="Arial" w:hAnsi="Arial" w:cs="Arial"/>
          <w:i/>
          <w:sz w:val="24"/>
          <w:szCs w:val="24"/>
        </w:rPr>
        <w:t>Fibroscan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®). </w:t>
      </w:r>
    </w:p>
    <w:p w:rsidR="005961BB" w:rsidRPr="00A565DF" w:rsidRDefault="005961BB" w:rsidP="00E214C7">
      <w:pPr>
        <w:pStyle w:val="PargrafodaLista"/>
        <w:spacing w:after="0" w:line="360" w:lineRule="auto"/>
        <w:ind w:left="0" w:right="-142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 HDT dispõe ainda de aparelhos de eletrocardiografia e realiza o exame de Eletrocardiograma (ECG) aos pacientes internados e também ambulatoriais. </w:t>
      </w:r>
    </w:p>
    <w:p w:rsidR="005961BB" w:rsidRPr="00A565DF" w:rsidRDefault="005961BB" w:rsidP="00E214C7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A565DF">
        <w:rPr>
          <w:rFonts w:ascii="Arial" w:hAnsi="Arial" w:cs="Arial"/>
          <w:sz w:val="24"/>
          <w:szCs w:val="24"/>
        </w:rPr>
        <w:t>O Laboratório de Análises Clínicas e Anatomia Patológica do HDT realiza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procedimentos de média e alta complexidade de diagnóstico, controle e monitoramento das doenças </w:t>
      </w:r>
      <w:proofErr w:type="spellStart"/>
      <w:r w:rsidRPr="00A565DF">
        <w:rPr>
          <w:rFonts w:ascii="Arial" w:hAnsi="Arial" w:cs="Arial"/>
          <w:sz w:val="24"/>
          <w:szCs w:val="24"/>
        </w:rPr>
        <w:t>infecto-contagiosas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A565DF">
        <w:rPr>
          <w:rFonts w:ascii="Arial" w:hAnsi="Arial" w:cs="Arial"/>
          <w:sz w:val="24"/>
          <w:szCs w:val="24"/>
        </w:rPr>
        <w:t>dematológicas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para os pacientes atendidos na Unidade.  </w:t>
      </w:r>
    </w:p>
    <w:p w:rsidR="005961BB" w:rsidRPr="00A565DF" w:rsidRDefault="005961BB" w:rsidP="00E214C7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O serviço é realizado 24 horas ininterruptamente, com intuito de prestar assistência integral e com qualidade aos usuários que necessitam de atendimento especializado, contemplando desde exames básicos de rotina, até os de alta complexidade tais como os exames de Biologia Molecular.</w:t>
      </w:r>
    </w:p>
    <w:p w:rsidR="005961BB" w:rsidRPr="00A565DF" w:rsidRDefault="005961BB" w:rsidP="00E214C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48225" cy="2476500"/>
            <wp:effectExtent l="0" t="0" r="0" b="0"/>
            <wp:docPr id="4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61BB" w:rsidRPr="00A565DF" w:rsidRDefault="005961BB" w:rsidP="00F87A2C">
      <w:pPr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pStyle w:val="PargrafodaLista"/>
        <w:numPr>
          <w:ilvl w:val="1"/>
          <w:numId w:val="17"/>
        </w:numPr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A565DF">
        <w:rPr>
          <w:rFonts w:ascii="Arial" w:hAnsi="Arial" w:cs="Arial"/>
          <w:b/>
          <w:sz w:val="24"/>
          <w:szCs w:val="24"/>
        </w:rPr>
        <w:lastRenderedPageBreak/>
        <w:t xml:space="preserve">  ATENDIMENTO ÀS URGÊNCIAS E EMERGÊNCIAS</w:t>
      </w:r>
    </w:p>
    <w:p w:rsidR="005961BB" w:rsidRPr="00A565DF" w:rsidRDefault="005961BB" w:rsidP="00F87A2C">
      <w:pPr>
        <w:pStyle w:val="PargrafodaLista"/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5961BB" w:rsidRPr="00A565DF" w:rsidRDefault="005961BB" w:rsidP="00F87A2C">
      <w:pPr>
        <w:pStyle w:val="PargrafodaLista"/>
        <w:spacing w:after="0" w:line="360" w:lineRule="auto"/>
        <w:ind w:left="0" w:right="-142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 O HDT recebe para atendimento de urgências pacientes regulados pelos Complexos Reguladores Municipal/Estadual, além de demanda espontânea em casos específicos de pacientes com HIV/AIDS que já fazem acompanhamento na unidade, vítimas de acidente com animal peçonhento e exposição sexual de risco.</w:t>
      </w:r>
    </w:p>
    <w:p w:rsidR="005961BB" w:rsidRPr="00A565DF" w:rsidRDefault="005961BB" w:rsidP="00F87A2C">
      <w:pPr>
        <w:pStyle w:val="PargrafodaLista"/>
        <w:spacing w:after="0" w:line="360" w:lineRule="auto"/>
        <w:ind w:left="0" w:right="-144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 setor funciona 24 horas por dia, </w:t>
      </w:r>
      <w:proofErr w:type="gramStart"/>
      <w:r w:rsidRPr="00A565DF">
        <w:rPr>
          <w:rFonts w:ascii="Arial" w:hAnsi="Arial" w:cs="Arial"/>
          <w:sz w:val="24"/>
          <w:szCs w:val="24"/>
        </w:rPr>
        <w:t>7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dias por semana e é contemplado com recepção,  sala para triagem e classificação de risco, 3 consultórios médicos para atendimento, 1 sala de reanimação e 3 enfermarias duplas. </w:t>
      </w:r>
    </w:p>
    <w:p w:rsidR="005961BB" w:rsidRPr="00A565DF" w:rsidRDefault="005961BB" w:rsidP="00F87A2C">
      <w:pPr>
        <w:pStyle w:val="PargrafodaLista"/>
        <w:spacing w:after="0" w:line="360" w:lineRule="auto"/>
        <w:ind w:left="0" w:right="-144" w:firstLine="709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pStyle w:val="PargrafodaLista"/>
        <w:keepNext/>
        <w:spacing w:after="0" w:line="360" w:lineRule="auto"/>
        <w:ind w:left="567" w:right="-144" w:firstLine="709"/>
        <w:jc w:val="center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114300" distR="114300">
            <wp:extent cx="2724150" cy="2024018"/>
            <wp:effectExtent l="19050" t="0" r="0" b="0"/>
            <wp:docPr id="4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100" cy="20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B" w:rsidRPr="00DE6A54" w:rsidRDefault="005961BB" w:rsidP="00F87A2C">
      <w:pPr>
        <w:pStyle w:val="Legenda"/>
        <w:spacing w:line="360" w:lineRule="auto"/>
        <w:jc w:val="center"/>
        <w:rPr>
          <w:rFonts w:ascii="Arial" w:hAnsi="Arial" w:cs="Arial"/>
          <w:color w:val="auto"/>
        </w:rPr>
      </w:pPr>
      <w:r w:rsidRPr="00A565DF">
        <w:rPr>
          <w:rFonts w:ascii="Arial" w:hAnsi="Arial" w:cs="Arial"/>
          <w:color w:val="auto"/>
          <w:sz w:val="24"/>
          <w:szCs w:val="24"/>
        </w:rPr>
        <w:t xml:space="preserve">                               </w:t>
      </w:r>
      <w:r w:rsidRPr="00DE6A54">
        <w:rPr>
          <w:rFonts w:ascii="Arial" w:hAnsi="Arial" w:cs="Arial"/>
          <w:color w:val="auto"/>
        </w:rPr>
        <w:t>Sala de Reanimação da Emergência</w:t>
      </w:r>
    </w:p>
    <w:p w:rsidR="005961BB" w:rsidRPr="00A565DF" w:rsidRDefault="005961BB" w:rsidP="00F87A2C">
      <w:pPr>
        <w:spacing w:line="360" w:lineRule="auto"/>
        <w:rPr>
          <w:rFonts w:ascii="Arial" w:hAnsi="Arial" w:cs="Arial"/>
          <w:sz w:val="24"/>
          <w:szCs w:val="24"/>
        </w:rPr>
      </w:pPr>
    </w:p>
    <w:p w:rsidR="005961BB" w:rsidRPr="00A565DF" w:rsidRDefault="00BB51FB" w:rsidP="00F87A2C">
      <w:pPr>
        <w:pStyle w:val="PargrafodaLista"/>
        <w:numPr>
          <w:ilvl w:val="1"/>
          <w:numId w:val="17"/>
        </w:numPr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5961BB" w:rsidRPr="00A565DF">
        <w:rPr>
          <w:rFonts w:ascii="Arial" w:hAnsi="Arial" w:cs="Arial"/>
          <w:b/>
          <w:sz w:val="24"/>
          <w:szCs w:val="24"/>
        </w:rPr>
        <w:t>ATENDIMENTO AMBULATORIAL</w:t>
      </w:r>
    </w:p>
    <w:p w:rsidR="005961BB" w:rsidRPr="00A565DF" w:rsidRDefault="005961BB" w:rsidP="00F87A2C">
      <w:pPr>
        <w:pStyle w:val="PargrafodaLista"/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O atendimento ambulatorial do HDT compreende:</w:t>
      </w: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Primeira consulta e/ou primeira consulta de egresso;</w:t>
      </w:r>
    </w:p>
    <w:p w:rsidR="005961BB" w:rsidRPr="00A565DF" w:rsidRDefault="005961BB" w:rsidP="00F87A2C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Interconsulta;</w:t>
      </w:r>
    </w:p>
    <w:p w:rsidR="005961BB" w:rsidRPr="00A565DF" w:rsidRDefault="005961BB" w:rsidP="00F87A2C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Consultas subsequentes (retornos).</w:t>
      </w:r>
    </w:p>
    <w:p w:rsidR="005961BB" w:rsidRPr="00A565DF" w:rsidRDefault="005961BB" w:rsidP="00F87A2C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</w:t>
      </w:r>
      <w:r w:rsidRPr="00A565DF">
        <w:rPr>
          <w:rFonts w:ascii="Arial" w:hAnsi="Arial" w:cs="Arial"/>
          <w:i/>
          <w:sz w:val="24"/>
          <w:szCs w:val="24"/>
        </w:rPr>
        <w:t>primeira consulta</w:t>
      </w:r>
      <w:r w:rsidRPr="00A565DF">
        <w:rPr>
          <w:rFonts w:ascii="Arial" w:hAnsi="Arial" w:cs="Arial"/>
          <w:sz w:val="24"/>
          <w:szCs w:val="24"/>
        </w:rPr>
        <w:t xml:space="preserve"> é a visita inicial do paciente encaminhado pela Central de Regulação do Estado ou Município ao Hospital, para atendimento da área de infectologia ou dermatologia.</w:t>
      </w: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</w:t>
      </w:r>
      <w:r w:rsidRPr="00A565DF">
        <w:rPr>
          <w:rFonts w:ascii="Arial" w:hAnsi="Arial" w:cs="Arial"/>
          <w:i/>
          <w:sz w:val="24"/>
          <w:szCs w:val="24"/>
        </w:rPr>
        <w:t>primeira consulta de egresso</w:t>
      </w:r>
      <w:r w:rsidRPr="00A565DF">
        <w:rPr>
          <w:rFonts w:ascii="Arial" w:hAnsi="Arial" w:cs="Arial"/>
          <w:sz w:val="24"/>
          <w:szCs w:val="24"/>
        </w:rPr>
        <w:t xml:space="preserve"> é quando o paciente é encaminhado pela própria instituição para acompanhamento ambulatorial, tendo sua consulta </w:t>
      </w:r>
      <w:r w:rsidRPr="00A565DF">
        <w:rPr>
          <w:rFonts w:ascii="Arial" w:hAnsi="Arial" w:cs="Arial"/>
          <w:sz w:val="24"/>
          <w:szCs w:val="24"/>
        </w:rPr>
        <w:lastRenderedPageBreak/>
        <w:t>agendada no momento da alta hospitalar, para atendimento na especialidade referida.</w:t>
      </w: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</w:t>
      </w:r>
      <w:r w:rsidRPr="00A565DF">
        <w:rPr>
          <w:rFonts w:ascii="Arial" w:hAnsi="Arial" w:cs="Arial"/>
          <w:i/>
          <w:sz w:val="24"/>
          <w:szCs w:val="24"/>
        </w:rPr>
        <w:t>interconsulta</w:t>
      </w:r>
      <w:r w:rsidRPr="00A565DF">
        <w:rPr>
          <w:rFonts w:ascii="Arial" w:hAnsi="Arial" w:cs="Arial"/>
          <w:sz w:val="24"/>
          <w:szCs w:val="24"/>
        </w:rPr>
        <w:t xml:space="preserve"> é a consulta realizada por outro profissional de outra especialidade, com solicitação gerada pela própria instituição.</w:t>
      </w: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</w:t>
      </w:r>
      <w:r w:rsidRPr="00A565DF">
        <w:rPr>
          <w:rFonts w:ascii="Arial" w:hAnsi="Arial" w:cs="Arial"/>
          <w:i/>
          <w:sz w:val="24"/>
          <w:szCs w:val="24"/>
        </w:rPr>
        <w:t>consulta subsequente</w:t>
      </w:r>
      <w:r w:rsidRPr="00A565DF">
        <w:rPr>
          <w:rFonts w:ascii="Arial" w:hAnsi="Arial" w:cs="Arial"/>
          <w:sz w:val="24"/>
          <w:szCs w:val="24"/>
        </w:rPr>
        <w:t xml:space="preserve"> são todas as consultas de segmento ambulatorial, decorrentes tanto das consultas oferecidas a rede básica de saúde quanto as subsequentes das interconsultas.</w:t>
      </w: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As especialidades médicas oferecidas pelo Ambulatório do HDT são: Cardiologia, Dermatologia, Endocrinologia, </w:t>
      </w:r>
      <w:proofErr w:type="spellStart"/>
      <w:r w:rsidRPr="00A565DF">
        <w:rPr>
          <w:rFonts w:ascii="Arial" w:hAnsi="Arial" w:cs="Arial"/>
          <w:sz w:val="24"/>
          <w:szCs w:val="24"/>
        </w:rPr>
        <w:t>Gastroenterologia</w:t>
      </w:r>
      <w:proofErr w:type="spellEnd"/>
      <w:r w:rsidRPr="00A565DF">
        <w:rPr>
          <w:rFonts w:ascii="Arial" w:hAnsi="Arial" w:cs="Arial"/>
          <w:sz w:val="24"/>
          <w:szCs w:val="24"/>
        </w:rPr>
        <w:t>, Infectologia (</w:t>
      </w:r>
      <w:proofErr w:type="gramStart"/>
      <w:r w:rsidRPr="00A565DF">
        <w:rPr>
          <w:rFonts w:ascii="Arial" w:hAnsi="Arial" w:cs="Arial"/>
          <w:sz w:val="24"/>
          <w:szCs w:val="24"/>
        </w:rPr>
        <w:t>adulto e pediátrica</w:t>
      </w:r>
      <w:proofErr w:type="gramEnd"/>
      <w:r w:rsidRPr="00A565DF">
        <w:rPr>
          <w:rFonts w:ascii="Arial" w:hAnsi="Arial" w:cs="Arial"/>
          <w:sz w:val="24"/>
          <w:szCs w:val="24"/>
        </w:rPr>
        <w:t>), Nefrologia, Neurologia, Ginecologia, Hematologia, Psiquiatria e Tisiologia.</w:t>
      </w:r>
    </w:p>
    <w:p w:rsidR="005961BB" w:rsidRPr="00A565DF" w:rsidRDefault="005961BB" w:rsidP="00F87A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Além das consultas médicas, o HDT disponibiliza ainda atendimento de consultas não médicas, que englobam Farmácia clínica e Psicologia (Adesão). </w:t>
      </w:r>
    </w:p>
    <w:p w:rsidR="005961BB" w:rsidRPr="00A565DF" w:rsidRDefault="005961BB" w:rsidP="00F87A2C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Farmácia Ambulatorial do HDT é uma referência estadual na </w:t>
      </w:r>
      <w:proofErr w:type="spellStart"/>
      <w:r w:rsidRPr="00A565DF">
        <w:rPr>
          <w:rFonts w:ascii="Arial" w:hAnsi="Arial" w:cs="Arial"/>
          <w:sz w:val="24"/>
          <w:szCs w:val="24"/>
        </w:rPr>
        <w:t>dispensação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de medicamentos do Componente Estratégico da Assistência Farmacêutica, sendo até denominada como Unidade Dispensadora de Medicamentos (UDM) pelo Ministério da Saúde. Tornou-se referência, também, na </w:t>
      </w:r>
      <w:proofErr w:type="spellStart"/>
      <w:r w:rsidRPr="00A565DF">
        <w:rPr>
          <w:rFonts w:ascii="Arial" w:hAnsi="Arial" w:cs="Arial"/>
          <w:sz w:val="24"/>
          <w:szCs w:val="24"/>
        </w:rPr>
        <w:t>dispensação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de medicamentos do Componente Especializado para o tratamento de Hepatite C viral em 2014. </w:t>
      </w:r>
    </w:p>
    <w:p w:rsidR="005961BB" w:rsidRPr="00A565DF" w:rsidRDefault="005961BB" w:rsidP="00F87A2C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Dentre as patologias cujos medicamentos são dispensados pela Farmácia Ambulatorial do HDT elencamos: HIV/AIDS e Infecções Oportunistas, Hepatite C viral, Endemias focais, Hanseníase, Tuberculose Droga-resistente (TBDR); além de Profilaxia Pré-exposição de risco à infecção pelo HIV (</w:t>
      </w:r>
      <w:proofErr w:type="spellStart"/>
      <w:proofErr w:type="gramStart"/>
      <w:r w:rsidRPr="00A565DF"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 w:rsidRPr="00A565DF">
        <w:rPr>
          <w:rFonts w:ascii="Arial" w:hAnsi="Arial" w:cs="Arial"/>
          <w:sz w:val="24"/>
          <w:szCs w:val="24"/>
        </w:rPr>
        <w:t>) e Profilaxia Pós-exposição de risco à infecção pelo HIV (PEP).</w:t>
      </w:r>
    </w:p>
    <w:p w:rsidR="002D6C53" w:rsidRDefault="005961BB" w:rsidP="001D044B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A Atenção Farmacêutica prestada através da Consulta Clínica Farmacêutica é um serviço especializado essencial como estratégia de adesão do paciente ao tratamento medicamentoso.</w:t>
      </w:r>
      <w:r w:rsidR="00717FA9" w:rsidRPr="00A565DF">
        <w:rPr>
          <w:rFonts w:ascii="Arial" w:hAnsi="Arial" w:cs="Arial"/>
          <w:sz w:val="24"/>
          <w:szCs w:val="24"/>
        </w:rPr>
        <w:t xml:space="preserve"> </w:t>
      </w:r>
    </w:p>
    <w:p w:rsidR="00B37D5D" w:rsidRDefault="00B37D5D" w:rsidP="001D044B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37D5D" w:rsidRDefault="00B37D5D" w:rsidP="001D044B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37D5D" w:rsidRDefault="00B37D5D" w:rsidP="001D044B">
      <w:pPr>
        <w:pStyle w:val="PargrafodaLista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37D5D" w:rsidRPr="00A565DF" w:rsidRDefault="00B37D5D" w:rsidP="001D044B">
      <w:pPr>
        <w:pStyle w:val="PargrafodaLista"/>
        <w:spacing w:after="0" w:line="360" w:lineRule="auto"/>
        <w:ind w:left="0" w:firstLine="709"/>
        <w:jc w:val="both"/>
        <w:rPr>
          <w:rStyle w:val="Forte"/>
          <w:rFonts w:ascii="Arial" w:hAnsi="Arial" w:cs="Arial"/>
          <w:b w:val="0"/>
          <w:bCs w:val="0"/>
          <w:sz w:val="24"/>
          <w:szCs w:val="24"/>
        </w:rPr>
      </w:pPr>
    </w:p>
    <w:p w:rsidR="00C341FF" w:rsidRPr="00A565DF" w:rsidRDefault="0090652F" w:rsidP="006C72CA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4. </w:t>
      </w:r>
      <w:r w:rsidR="006C72CA" w:rsidRPr="00A565DF">
        <w:rPr>
          <w:rFonts w:ascii="Arial" w:hAnsi="Arial" w:cs="Arial"/>
          <w:color w:val="000000" w:themeColor="text1"/>
          <w:sz w:val="24"/>
          <w:szCs w:val="24"/>
        </w:rPr>
        <w:t>METAS DE PRODUÇÃO</w:t>
      </w:r>
      <w:r w:rsidR="00C341FF" w:rsidRPr="00A565DF">
        <w:rPr>
          <w:rFonts w:ascii="Arial" w:hAnsi="Arial" w:cs="Arial"/>
          <w:color w:val="000000" w:themeColor="text1"/>
          <w:sz w:val="24"/>
          <w:szCs w:val="24"/>
        </w:rPr>
        <w:t xml:space="preserve"> E RESULTADOS ALCANÇADOS</w:t>
      </w:r>
    </w:p>
    <w:p w:rsidR="001C398B" w:rsidRPr="00A565DF" w:rsidRDefault="001C398B" w:rsidP="001C398B">
      <w:pPr>
        <w:rPr>
          <w:rFonts w:ascii="Arial" w:hAnsi="Arial" w:cs="Arial"/>
          <w:sz w:val="24"/>
          <w:szCs w:val="24"/>
        </w:rPr>
      </w:pPr>
    </w:p>
    <w:p w:rsidR="009C1582" w:rsidRPr="00A565DF" w:rsidRDefault="00F467BB" w:rsidP="001C398B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b/>
          <w:color w:val="000000" w:themeColor="text1"/>
          <w:sz w:val="24"/>
          <w:szCs w:val="24"/>
        </w:rPr>
        <w:t>4.1 - COMPARATIVO ENTRE AS METAS PROPOSTAS E OS RESULTADOS ALCANÇADOS</w:t>
      </w:r>
    </w:p>
    <w:p w:rsidR="009C1582" w:rsidRPr="00A565DF" w:rsidRDefault="009C1582" w:rsidP="001C398B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5954" w:type="dxa"/>
        <w:tblInd w:w="1554" w:type="dxa"/>
        <w:tblCellMar>
          <w:left w:w="70" w:type="dxa"/>
          <w:right w:w="70" w:type="dxa"/>
        </w:tblCellMar>
        <w:tblLook w:val="04A0"/>
      </w:tblPr>
      <w:tblGrid>
        <w:gridCol w:w="2663"/>
        <w:gridCol w:w="916"/>
        <w:gridCol w:w="1261"/>
        <w:gridCol w:w="1114"/>
      </w:tblGrid>
      <w:tr w:rsidR="009C1582" w:rsidRPr="00A565DF" w:rsidTr="00DE6A54">
        <w:trPr>
          <w:trHeight w:val="72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CC" w:fill="C5D9F1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PRODUÇÃO - DEZEMBRO/2020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CC" w:fill="C5D9F1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META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CC" w:fill="C5D9F1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Realizado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CC" w:fill="C5D9F1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Atingido da Meta</w:t>
            </w:r>
          </w:p>
        </w:tc>
      </w:tr>
      <w:tr w:rsidR="009C1582" w:rsidRPr="00A565DF" w:rsidTr="00DE6A54">
        <w:trPr>
          <w:trHeight w:val="283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CC" w:fill="8DB4E3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1- INTERNAÇÕES</w:t>
            </w:r>
            <w:proofErr w:type="gramEnd"/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HOSPITALARES</w:t>
            </w:r>
          </w:p>
        </w:tc>
      </w:tr>
      <w:tr w:rsidR="009C1582" w:rsidRPr="00A565DF" w:rsidTr="00DE6A54">
        <w:trPr>
          <w:trHeight w:val="424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Saídas Hospitalares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92%</w:t>
            </w:r>
          </w:p>
        </w:tc>
      </w:tr>
      <w:tr w:rsidR="009C1582" w:rsidRPr="00A565DF" w:rsidTr="00DE6A54">
        <w:trPr>
          <w:trHeight w:val="424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CC" w:fill="8DB4E3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1- INTERNAÇÕES</w:t>
            </w:r>
            <w:proofErr w:type="gramEnd"/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HOSPITAL DIA</w:t>
            </w:r>
          </w:p>
        </w:tc>
      </w:tr>
      <w:tr w:rsidR="009C1582" w:rsidRPr="00A565DF" w:rsidTr="00DE6A54">
        <w:trPr>
          <w:trHeight w:val="424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Internações Hospital Dia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135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68%</w:t>
            </w:r>
          </w:p>
        </w:tc>
      </w:tr>
      <w:tr w:rsidR="009C1582" w:rsidRPr="00A565DF" w:rsidTr="00DE6A54">
        <w:trPr>
          <w:trHeight w:val="283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CC" w:fill="8DB4E3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2- ATENDIMENTO</w:t>
            </w:r>
            <w:proofErr w:type="gramEnd"/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AMBULATORIAL 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Consultas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1050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2872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274%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Consultas Médicas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750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2.547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340%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Consultas Não Medicas</w:t>
            </w:r>
            <w:proofErr w:type="gram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108%</w:t>
            </w:r>
          </w:p>
        </w:tc>
      </w:tr>
      <w:tr w:rsidR="009C1582" w:rsidRPr="00A565DF" w:rsidTr="00DE6A54">
        <w:trPr>
          <w:trHeight w:val="283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CC" w:fill="8DB4E3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4- SADT EXTERNO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Exames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440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568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129%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Radiografia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140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297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212%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Tomografia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269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90%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Ultrassonografia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***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9C1582" w:rsidRPr="00A565DF" w:rsidTr="00DE6A54">
        <w:trPr>
          <w:trHeight w:val="283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2F2F2"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Ecocardiograma</w:t>
            </w:r>
            <w:proofErr w:type="spellEnd"/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***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</w:t>
            </w:r>
            <w:proofErr w:type="gram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C1582" w:rsidRPr="00A565DF" w:rsidRDefault="009C1582" w:rsidP="009C1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565D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782864" w:rsidRDefault="00782864" w:rsidP="001C398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E6A54" w:rsidRPr="00A565DF" w:rsidRDefault="00DE6A54" w:rsidP="001C398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03ADE" w:rsidRPr="00A565DF" w:rsidRDefault="009C1582" w:rsidP="003B7143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A565DF">
        <w:rPr>
          <w:rFonts w:ascii="Arial" w:hAnsi="Arial" w:cs="Arial"/>
          <w:b/>
          <w:color w:val="000000" w:themeColor="text1"/>
          <w:sz w:val="24"/>
          <w:szCs w:val="24"/>
        </w:rPr>
        <w:t xml:space="preserve">4.2 - </w:t>
      </w:r>
      <w:r w:rsidR="00703ADE" w:rsidRPr="00A565DF">
        <w:rPr>
          <w:rFonts w:ascii="Arial" w:hAnsi="Arial" w:cs="Arial"/>
          <w:b/>
          <w:color w:val="000000" w:themeColor="text1"/>
          <w:sz w:val="24"/>
          <w:szCs w:val="24"/>
        </w:rPr>
        <w:t>ANÁLISE</w:t>
      </w:r>
      <w:proofErr w:type="gramEnd"/>
      <w:r w:rsidR="00703ADE" w:rsidRPr="00A565DF">
        <w:rPr>
          <w:rFonts w:ascii="Arial" w:hAnsi="Arial" w:cs="Arial"/>
          <w:b/>
          <w:color w:val="000000" w:themeColor="text1"/>
          <w:sz w:val="24"/>
          <w:szCs w:val="24"/>
        </w:rPr>
        <w:t xml:space="preserve"> CR</w:t>
      </w:r>
      <w:r w:rsidR="003B7143" w:rsidRPr="00A565DF">
        <w:rPr>
          <w:rFonts w:ascii="Arial" w:hAnsi="Arial" w:cs="Arial"/>
          <w:b/>
          <w:color w:val="000000" w:themeColor="text1"/>
          <w:sz w:val="24"/>
          <w:szCs w:val="24"/>
        </w:rPr>
        <w:t>ÍTICA DOS RESULTADOS ALCANÇADOS</w:t>
      </w:r>
    </w:p>
    <w:p w:rsidR="003B7143" w:rsidRPr="00A565DF" w:rsidRDefault="003B7143" w:rsidP="003B7143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3ADE" w:rsidRPr="00A565DF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A565DF">
        <w:rPr>
          <w:rFonts w:ascii="Arial" w:hAnsi="Arial" w:cs="Arial"/>
          <w:b/>
          <w:color w:val="002060"/>
          <w:sz w:val="24"/>
          <w:szCs w:val="24"/>
        </w:rPr>
        <w:t>Saídas</w:t>
      </w:r>
      <w:r w:rsidR="005B36EA" w:rsidRPr="00A565DF">
        <w:rPr>
          <w:rFonts w:ascii="Arial" w:hAnsi="Arial" w:cs="Arial"/>
          <w:b/>
          <w:color w:val="002060"/>
          <w:sz w:val="24"/>
          <w:szCs w:val="24"/>
        </w:rPr>
        <w:t xml:space="preserve"> Hospitalares</w:t>
      </w:r>
    </w:p>
    <w:p w:rsidR="003B7143" w:rsidRPr="00A565DF" w:rsidRDefault="003B7143" w:rsidP="003B7143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B2200C" w:rsidRPr="00A565DF" w:rsidRDefault="00E24BD1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color w:val="000000" w:themeColor="text1"/>
          <w:sz w:val="24"/>
          <w:szCs w:val="24"/>
        </w:rPr>
        <w:t>Conforme o Contrato de G</w:t>
      </w:r>
      <w:r w:rsidR="00AF47D9" w:rsidRPr="00A565DF">
        <w:rPr>
          <w:rFonts w:ascii="Arial" w:hAnsi="Arial" w:cs="Arial"/>
          <w:color w:val="000000" w:themeColor="text1"/>
          <w:sz w:val="24"/>
          <w:szCs w:val="24"/>
        </w:rPr>
        <w:t>estão Nº 091/2012 – ISG/SES – GO</w:t>
      </w: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 e seu 12ª Termo Aditivo vigente, </w:t>
      </w:r>
      <w:r w:rsidR="009569B7" w:rsidRPr="00A565DF">
        <w:rPr>
          <w:rFonts w:ascii="Arial" w:hAnsi="Arial" w:cs="Arial"/>
          <w:color w:val="000000" w:themeColor="text1"/>
          <w:sz w:val="24"/>
          <w:szCs w:val="24"/>
        </w:rPr>
        <w:t xml:space="preserve">o HDT deverá realizar mensalmente 230 saídas em clínica médica, com variação de </w:t>
      </w:r>
      <w:r w:rsidR="005B36EA" w:rsidRPr="00A565DF">
        <w:rPr>
          <w:rFonts w:ascii="Arial" w:hAnsi="Arial" w:cs="Arial"/>
          <w:color w:val="000000" w:themeColor="text1"/>
          <w:sz w:val="24"/>
          <w:szCs w:val="24"/>
        </w:rPr>
        <w:t xml:space="preserve">±10% de acordo com o número de leitos operacionais cadastrados. </w:t>
      </w:r>
    </w:p>
    <w:p w:rsidR="003B7143" w:rsidRPr="00A565DF" w:rsidRDefault="005B36EA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No mês de </w:t>
      </w:r>
      <w:r w:rsidRPr="00A565DF">
        <w:rPr>
          <w:rFonts w:ascii="Arial" w:hAnsi="Arial" w:cs="Arial"/>
          <w:b/>
          <w:color w:val="000000" w:themeColor="text1"/>
          <w:sz w:val="24"/>
          <w:szCs w:val="24"/>
        </w:rPr>
        <w:t>dezembro</w:t>
      </w: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 o</w:t>
      </w:r>
      <w:r w:rsidR="007F1FC6" w:rsidRPr="00A565DF">
        <w:rPr>
          <w:rFonts w:ascii="Arial" w:hAnsi="Arial" w:cs="Arial"/>
          <w:color w:val="000000" w:themeColor="text1"/>
          <w:sz w:val="24"/>
          <w:szCs w:val="24"/>
        </w:rPr>
        <w:t xml:space="preserve"> HDT </w:t>
      </w:r>
      <w:r w:rsidR="00AA1E86" w:rsidRPr="00A565DF">
        <w:rPr>
          <w:rFonts w:ascii="Arial" w:hAnsi="Arial" w:cs="Arial"/>
          <w:color w:val="000000" w:themeColor="text1"/>
          <w:sz w:val="24"/>
          <w:szCs w:val="24"/>
        </w:rPr>
        <w:t>obteve</w:t>
      </w: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 212 saídas, o que corresponde a 92% de alcance da</w:t>
      </w:r>
      <w:r w:rsidR="00670613" w:rsidRPr="00A565DF">
        <w:rPr>
          <w:rFonts w:ascii="Arial" w:hAnsi="Arial" w:cs="Arial"/>
          <w:color w:val="000000" w:themeColor="text1"/>
          <w:sz w:val="24"/>
          <w:szCs w:val="24"/>
        </w:rPr>
        <w:t xml:space="preserve"> meta</w:t>
      </w:r>
      <w:r w:rsidR="00E24BD1" w:rsidRPr="00A565D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200C" w:rsidRPr="00A565DF">
        <w:rPr>
          <w:rFonts w:ascii="Arial" w:hAnsi="Arial" w:cs="Arial"/>
          <w:color w:val="000000" w:themeColor="text1"/>
          <w:sz w:val="24"/>
          <w:szCs w:val="24"/>
        </w:rPr>
        <w:t>prevista em CG</w:t>
      </w:r>
      <w:r w:rsidRPr="00A565DF">
        <w:rPr>
          <w:rFonts w:ascii="Arial" w:hAnsi="Arial" w:cs="Arial"/>
          <w:color w:val="000000" w:themeColor="text1"/>
          <w:sz w:val="24"/>
          <w:szCs w:val="24"/>
        </w:rPr>
        <w:t>, estando em conformidade com a variação tolerável</w:t>
      </w:r>
      <w:r w:rsidR="00B2200C" w:rsidRPr="00A565D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AA1E86" w:rsidRPr="00A565DF" w:rsidRDefault="00AA1E86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4152900" cy="1543050"/>
            <wp:effectExtent l="0" t="0" r="0" b="0"/>
            <wp:docPr id="6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B7143" w:rsidRPr="00A565DF" w:rsidRDefault="003B7143" w:rsidP="007F1F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03ADE" w:rsidRPr="00A565DF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A565DF"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3B7143" w:rsidRPr="00A565DF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3B7143" w:rsidRPr="00A565DF" w:rsidRDefault="00AA1E86" w:rsidP="003B714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meta para o atendimento em regime de Hospital Dia é de 100 atendimentos mensais, com variação de </w:t>
      </w: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±10%. </w:t>
      </w:r>
    </w:p>
    <w:p w:rsidR="00AA1E86" w:rsidRPr="00A565DF" w:rsidRDefault="00AA1E86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O HDT realizou no mês de </w:t>
      </w:r>
      <w:r w:rsidRPr="00A565DF">
        <w:rPr>
          <w:rFonts w:ascii="Arial" w:hAnsi="Arial" w:cs="Arial"/>
          <w:b/>
          <w:color w:val="000000" w:themeColor="text1"/>
          <w:sz w:val="24"/>
          <w:szCs w:val="24"/>
        </w:rPr>
        <w:t xml:space="preserve">dezembro </w:t>
      </w:r>
      <w:r w:rsidRPr="00A565DF">
        <w:rPr>
          <w:rFonts w:ascii="Arial" w:hAnsi="Arial" w:cs="Arial"/>
          <w:color w:val="000000" w:themeColor="text1"/>
          <w:sz w:val="24"/>
          <w:szCs w:val="24"/>
        </w:rPr>
        <w:t xml:space="preserve">135 atendimentos, correspondendo a 68% de alcance da meta. </w:t>
      </w:r>
      <w:r w:rsidRPr="00A565DF">
        <w:rPr>
          <w:rFonts w:ascii="Arial" w:hAnsi="Arial" w:cs="Arial"/>
          <w:sz w:val="24"/>
          <w:szCs w:val="24"/>
        </w:rPr>
        <w:t>Esse resultado está atrelado ainda ao contexto de pandemia, que com a redução das agendas médicas, impactou diretamente nos pacientes que eram encaminhados via ambulatório para tratamento medicamentoso em regime de Hospital Dia no HDT.</w:t>
      </w:r>
    </w:p>
    <w:p w:rsidR="008A2BAC" w:rsidRPr="00A565DF" w:rsidRDefault="008A2BAC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A2BAC" w:rsidRPr="00A565DF" w:rsidRDefault="008A2BAC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914775" cy="1590675"/>
            <wp:effectExtent l="0" t="0" r="0" b="0"/>
            <wp:docPr id="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A1E86" w:rsidRPr="00A565DF" w:rsidRDefault="00AA1E86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10DD" w:rsidRPr="00A565DF" w:rsidRDefault="003410DD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A565DF">
        <w:rPr>
          <w:rFonts w:ascii="Arial" w:hAnsi="Arial" w:cs="Arial"/>
          <w:b/>
          <w:color w:val="002060"/>
          <w:sz w:val="24"/>
          <w:szCs w:val="24"/>
        </w:rPr>
        <w:t xml:space="preserve">SADT Externo </w:t>
      </w:r>
    </w:p>
    <w:p w:rsidR="003410DD" w:rsidRPr="00A565DF" w:rsidRDefault="003410DD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</w:p>
    <w:p w:rsidR="003410DD" w:rsidRPr="00A565DF" w:rsidRDefault="003410DD" w:rsidP="003410D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 HDT deve realizar um número de SADT Externo à Rede Assistencial, de acordo com fluxos estabelecidos pelo Complexo Regulador Estadual e/ou Municipal, no limite da capacidade operacional do SADT, qual </w:t>
      </w:r>
      <w:proofErr w:type="gramStart"/>
      <w:r w:rsidRPr="00A565DF">
        <w:rPr>
          <w:rFonts w:ascii="Arial" w:hAnsi="Arial" w:cs="Arial"/>
          <w:sz w:val="24"/>
          <w:szCs w:val="24"/>
        </w:rPr>
        <w:t>seja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, </w:t>
      </w:r>
      <w:r w:rsidRPr="00A565DF">
        <w:rPr>
          <w:rFonts w:ascii="Arial" w:hAnsi="Arial" w:cs="Arial"/>
          <w:b/>
          <w:bCs/>
          <w:sz w:val="24"/>
          <w:szCs w:val="24"/>
        </w:rPr>
        <w:t>radiografias e tomografias computadorizadas</w:t>
      </w:r>
      <w:r w:rsidRPr="00A565DF">
        <w:rPr>
          <w:rFonts w:ascii="Arial" w:hAnsi="Arial" w:cs="Arial"/>
          <w:sz w:val="24"/>
          <w:szCs w:val="24"/>
        </w:rPr>
        <w:t>, de 140 e 300 exames, respectivamente, mensais, com variação de até 10%.</w:t>
      </w:r>
    </w:p>
    <w:p w:rsidR="003410DD" w:rsidRPr="00A565DF" w:rsidRDefault="003410DD" w:rsidP="003410D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lastRenderedPageBreak/>
        <w:t xml:space="preserve">No mês de </w:t>
      </w:r>
      <w:r w:rsidRPr="00A565DF">
        <w:rPr>
          <w:rFonts w:ascii="Arial" w:hAnsi="Arial" w:cs="Arial"/>
          <w:b/>
          <w:sz w:val="24"/>
          <w:szCs w:val="24"/>
        </w:rPr>
        <w:t>dezembro</w:t>
      </w:r>
      <w:r w:rsidRPr="00A565DF">
        <w:rPr>
          <w:rFonts w:ascii="Arial" w:hAnsi="Arial" w:cs="Arial"/>
          <w:sz w:val="24"/>
          <w:szCs w:val="24"/>
        </w:rPr>
        <w:t xml:space="preserve"> foram realizadas 297 radiografias e 269 tomografias, o que corresponde a 212% e 90% de alcance da meta, estando em conformidade com o pactuado.</w:t>
      </w:r>
    </w:p>
    <w:p w:rsidR="003410DD" w:rsidRPr="00A565DF" w:rsidRDefault="00A974F2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A565DF">
        <w:rPr>
          <w:rFonts w:ascii="Arial" w:hAnsi="Arial" w:cs="Arial"/>
          <w:b/>
          <w:color w:val="002060"/>
          <w:sz w:val="24"/>
          <w:szCs w:val="24"/>
        </w:rPr>
        <w:t xml:space="preserve">               </w:t>
      </w:r>
      <w:r w:rsidRPr="00A565DF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0" t="0" r="0" b="0"/>
            <wp:docPr id="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47743" w:rsidRPr="00A565DF" w:rsidRDefault="00847743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</w:p>
    <w:p w:rsidR="00703ADE" w:rsidRPr="00A565DF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A565DF"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3B7143" w:rsidRPr="00A565DF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847743" w:rsidRPr="00A565DF" w:rsidRDefault="00847743" w:rsidP="008477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meta mensal para atendimento ambulatorial no HDT é subdividida em Consultas Médicas e Consultas Não Médicas, sendo 750 e 300 respectivamente. </w:t>
      </w:r>
    </w:p>
    <w:p w:rsidR="001130C2" w:rsidRPr="00A565DF" w:rsidRDefault="00AA002C" w:rsidP="00CF10B0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 </w:t>
      </w:r>
      <w:r w:rsidR="00847743" w:rsidRPr="00A565DF">
        <w:rPr>
          <w:rFonts w:ascii="Arial" w:hAnsi="Arial" w:cs="Arial"/>
          <w:sz w:val="24"/>
          <w:szCs w:val="24"/>
        </w:rPr>
        <w:t xml:space="preserve">Em </w:t>
      </w:r>
      <w:r w:rsidR="00847743" w:rsidRPr="00A565DF">
        <w:rPr>
          <w:rFonts w:ascii="Arial" w:hAnsi="Arial" w:cs="Arial"/>
          <w:b/>
          <w:sz w:val="24"/>
          <w:szCs w:val="24"/>
        </w:rPr>
        <w:t>dezembro</w:t>
      </w:r>
      <w:r w:rsidR="00847743" w:rsidRPr="00A565DF">
        <w:rPr>
          <w:rFonts w:ascii="Arial" w:hAnsi="Arial" w:cs="Arial"/>
          <w:sz w:val="24"/>
          <w:szCs w:val="24"/>
        </w:rPr>
        <w:t xml:space="preserve"> a produção ambulatorial</w:t>
      </w:r>
      <w:r w:rsidR="007B695E" w:rsidRPr="00A565DF">
        <w:rPr>
          <w:rFonts w:ascii="Arial" w:hAnsi="Arial" w:cs="Arial"/>
          <w:sz w:val="24"/>
          <w:szCs w:val="24"/>
        </w:rPr>
        <w:t xml:space="preserve"> </w:t>
      </w:r>
      <w:r w:rsidR="00CF10B0" w:rsidRPr="00A565DF">
        <w:rPr>
          <w:rFonts w:ascii="Arial" w:hAnsi="Arial" w:cs="Arial"/>
          <w:sz w:val="24"/>
          <w:szCs w:val="24"/>
        </w:rPr>
        <w:t xml:space="preserve">manteve-se </w:t>
      </w:r>
      <w:r w:rsidR="00847743" w:rsidRPr="00A565DF">
        <w:rPr>
          <w:rFonts w:ascii="Arial" w:hAnsi="Arial" w:cs="Arial"/>
          <w:sz w:val="24"/>
          <w:szCs w:val="24"/>
        </w:rPr>
        <w:t xml:space="preserve">expressivamente </w:t>
      </w:r>
      <w:r w:rsidR="00CF10B0" w:rsidRPr="00A565DF">
        <w:rPr>
          <w:rFonts w:ascii="Arial" w:hAnsi="Arial" w:cs="Arial"/>
          <w:sz w:val="24"/>
          <w:szCs w:val="24"/>
        </w:rPr>
        <w:t xml:space="preserve">acima </w:t>
      </w:r>
      <w:r w:rsidR="00847743" w:rsidRPr="00A565DF">
        <w:rPr>
          <w:rFonts w:ascii="Arial" w:hAnsi="Arial" w:cs="Arial"/>
          <w:sz w:val="24"/>
          <w:szCs w:val="24"/>
        </w:rPr>
        <w:t xml:space="preserve">do pactuado, principalmente nas consultas Médicas, alcançando a meta em 340%. </w:t>
      </w:r>
    </w:p>
    <w:p w:rsidR="002829DC" w:rsidRPr="00A565DF" w:rsidRDefault="002829DC" w:rsidP="00CF10B0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2829DC" w:rsidRPr="00A565DF" w:rsidRDefault="002829DC" w:rsidP="00CF10B0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162425" cy="1800225"/>
            <wp:effectExtent l="0" t="0" r="0" b="0"/>
            <wp:docPr id="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A1A76" w:rsidRPr="00A565DF" w:rsidRDefault="006A1A76" w:rsidP="00B869B0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6A1A76" w:rsidRPr="00A565DF" w:rsidRDefault="00AF48A2" w:rsidP="00A565DF">
      <w:pPr>
        <w:pStyle w:val="PargrafodaLista"/>
        <w:numPr>
          <w:ilvl w:val="0"/>
          <w:numId w:val="21"/>
        </w:num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A565DF" w:rsidRPr="00A565DF">
        <w:rPr>
          <w:rFonts w:ascii="Arial" w:hAnsi="Arial" w:cs="Arial"/>
          <w:b/>
          <w:color w:val="000000" w:themeColor="text1"/>
          <w:sz w:val="24"/>
          <w:szCs w:val="24"/>
        </w:rPr>
        <w:t>METAS DE DESEMPENHO E RESULTADOS ALCANÇADOS</w:t>
      </w:r>
    </w:p>
    <w:p w:rsidR="00F26452" w:rsidRPr="00A565DF" w:rsidRDefault="00F26452" w:rsidP="00F26452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13FBE" w:rsidRPr="00A565DF" w:rsidRDefault="00413FBE" w:rsidP="00A565DF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Os indicadores de desempenho estão relacionados à qualidade da assistência oferecida aos usuários da unidade e mensuram a eficiência, efetividade e qualidade dos processos de gestão.</w:t>
      </w:r>
    </w:p>
    <w:p w:rsidR="00C61ABA" w:rsidRPr="00A565DF" w:rsidRDefault="00C61ABA" w:rsidP="00B869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C61ABA" w:rsidRPr="00A565DF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A565DF">
        <w:rPr>
          <w:rFonts w:ascii="Arial" w:hAnsi="Arial" w:cs="Arial"/>
          <w:sz w:val="24"/>
          <w:szCs w:val="24"/>
        </w:rPr>
        <w:lastRenderedPageBreak/>
        <w:t>Taxa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C61ABA" w:rsidRPr="00A565DF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Média de Permanência Hospitalar ≤ 10 dias;</w:t>
      </w:r>
    </w:p>
    <w:p w:rsidR="00C61ABA" w:rsidRPr="00A565DF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Índice de Intervalo de Substituição de leitos ≤ 43%;</w:t>
      </w:r>
    </w:p>
    <w:p w:rsidR="00C61ABA" w:rsidRPr="00A565DF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C61ABA" w:rsidRPr="00A565DF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565DF">
        <w:rPr>
          <w:rFonts w:ascii="Arial" w:hAnsi="Arial" w:cs="Arial"/>
          <w:sz w:val="24"/>
          <w:szCs w:val="24"/>
        </w:rPr>
        <w:t>Farmacovigilância</w:t>
      </w:r>
      <w:proofErr w:type="spellEnd"/>
      <w:r w:rsidRPr="00A565DF"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C61ABA" w:rsidRPr="00A565DF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565DF">
        <w:rPr>
          <w:rFonts w:ascii="Arial" w:hAnsi="Arial" w:cs="Arial"/>
          <w:sz w:val="24"/>
          <w:szCs w:val="24"/>
        </w:rPr>
        <w:t>Famacovigilância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 w:rsidRPr="00A565DF">
        <w:rPr>
          <w:rFonts w:ascii="Arial" w:hAnsi="Arial" w:cs="Arial"/>
          <w:sz w:val="24"/>
          <w:szCs w:val="24"/>
        </w:rPr>
        <w:t>a</w:t>
      </w:r>
      <w:proofErr w:type="gramEnd"/>
      <w:r w:rsidRPr="00A565DF">
        <w:rPr>
          <w:rFonts w:ascii="Arial" w:hAnsi="Arial" w:cs="Arial"/>
          <w:sz w:val="24"/>
          <w:szCs w:val="24"/>
        </w:rPr>
        <w:t xml:space="preserve"> gravidade ≥ 70%</w:t>
      </w:r>
      <w:r w:rsidR="00F26452" w:rsidRPr="00A565DF">
        <w:rPr>
          <w:rFonts w:ascii="Arial" w:hAnsi="Arial" w:cs="Arial"/>
          <w:sz w:val="24"/>
          <w:szCs w:val="24"/>
        </w:rPr>
        <w:t>.</w:t>
      </w:r>
    </w:p>
    <w:p w:rsidR="00C61ABA" w:rsidRPr="00A565DF" w:rsidRDefault="00C61ABA" w:rsidP="00B869B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4CDB" w:rsidRPr="00A565DF" w:rsidRDefault="00C61ABA" w:rsidP="00F26452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F26452" w:rsidRPr="00A565DF" w:rsidRDefault="00F26452" w:rsidP="00F26452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D55C23" w:rsidRPr="00A565DF" w:rsidRDefault="00D55C23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  <w:u w:val="single"/>
        </w:rPr>
        <w:t>Conceituação:</w:t>
      </w:r>
      <w:r w:rsidRPr="00A565DF">
        <w:rPr>
          <w:rFonts w:ascii="Arial" w:hAnsi="Arial" w:cs="Arial"/>
          <w:sz w:val="24"/>
          <w:szCs w:val="24"/>
        </w:rPr>
        <w:t xml:space="preserve"> Relação percentual entre o número de pacientes-dia, em determinado período, e o número de leitos-dia no mesmo período. </w:t>
      </w:r>
    </w:p>
    <w:p w:rsidR="00F26452" w:rsidRPr="00A565DF" w:rsidRDefault="00F96D7B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A Taxa de Ocupação Hospitalar avalia o grau de utilização dos leitos operacionais no hospital como um todo. Mensura o perfil de utilização e gestão do</w:t>
      </w:r>
      <w:r w:rsidR="00F26452" w:rsidRPr="00A565DF">
        <w:rPr>
          <w:rFonts w:ascii="Arial" w:hAnsi="Arial" w:cs="Arial"/>
          <w:sz w:val="24"/>
          <w:szCs w:val="24"/>
        </w:rPr>
        <w:t xml:space="preserve"> leito operacional no hospital. </w:t>
      </w:r>
      <w:r w:rsidRPr="00A565DF">
        <w:rPr>
          <w:rFonts w:ascii="Arial" w:hAnsi="Arial" w:cs="Arial"/>
          <w:sz w:val="24"/>
          <w:szCs w:val="24"/>
        </w:rPr>
        <w:t xml:space="preserve">A gestão eficiente do leito operacional aumenta a oferta de leitos para o sistema de saúde. </w:t>
      </w:r>
    </w:p>
    <w:p w:rsidR="00F96D7B" w:rsidRPr="00A565DF" w:rsidRDefault="00F96D7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F96D7B" w:rsidRPr="00DE6A54" w:rsidRDefault="00CD60D8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18"/>
          <w:szCs w:val="18"/>
        </w:rPr>
      </w:pPr>
      <w:r w:rsidRPr="00DE6A54">
        <w:rPr>
          <w:rFonts w:ascii="Arial" w:hAnsi="Arial" w:cs="Arial"/>
          <w:sz w:val="18"/>
          <w:szCs w:val="18"/>
        </w:rPr>
        <w:t>Fórmula:</w:t>
      </w:r>
      <w:proofErr w:type="gramStart"/>
      <w:r w:rsidRPr="00DE6A54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DE6A54">
        <w:rPr>
          <w:rFonts w:ascii="Arial" w:hAnsi="Arial" w:cs="Arial"/>
          <w:i/>
          <w:sz w:val="18"/>
          <w:szCs w:val="18"/>
        </w:rPr>
        <w:t>____</w:t>
      </w:r>
      <w:r w:rsidR="00F96D7B" w:rsidRPr="00DE6A54">
        <w:rPr>
          <w:rFonts w:ascii="Arial" w:hAnsi="Arial" w:cs="Arial"/>
          <w:i/>
          <w:sz w:val="18"/>
          <w:szCs w:val="18"/>
          <w:u w:val="single"/>
        </w:rPr>
        <w:t>Total de Paciente-dia no período</w:t>
      </w:r>
      <w:r w:rsidRPr="00DE6A54">
        <w:rPr>
          <w:rFonts w:ascii="Arial" w:hAnsi="Arial" w:cs="Arial"/>
          <w:i/>
          <w:sz w:val="18"/>
          <w:szCs w:val="18"/>
          <w:u w:val="single"/>
        </w:rPr>
        <w:t xml:space="preserve">_____  </w:t>
      </w:r>
      <w:r w:rsidRPr="00DE6A54">
        <w:rPr>
          <w:rFonts w:ascii="Arial" w:hAnsi="Arial" w:cs="Arial"/>
          <w:i/>
          <w:sz w:val="18"/>
          <w:szCs w:val="18"/>
        </w:rPr>
        <w:t xml:space="preserve">X 100 </w:t>
      </w:r>
    </w:p>
    <w:p w:rsidR="00F96D7B" w:rsidRPr="00DE6A54" w:rsidRDefault="00CD60D8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18"/>
          <w:szCs w:val="18"/>
        </w:rPr>
      </w:pPr>
      <w:r w:rsidRPr="00DE6A54">
        <w:rPr>
          <w:rFonts w:ascii="Arial" w:hAnsi="Arial" w:cs="Arial"/>
          <w:i/>
          <w:sz w:val="18"/>
          <w:szCs w:val="18"/>
        </w:rPr>
        <w:t xml:space="preserve">                   </w:t>
      </w:r>
      <w:r w:rsidR="00F96D7B" w:rsidRPr="00DE6A54">
        <w:rPr>
          <w:rFonts w:ascii="Arial" w:hAnsi="Arial" w:cs="Arial"/>
          <w:i/>
          <w:sz w:val="18"/>
          <w:szCs w:val="18"/>
        </w:rPr>
        <w:t>Total de Leitos Operacionais</w:t>
      </w:r>
      <w:r w:rsidRPr="00DE6A54">
        <w:rPr>
          <w:rFonts w:ascii="Arial" w:hAnsi="Arial" w:cs="Arial"/>
          <w:i/>
          <w:sz w:val="18"/>
          <w:szCs w:val="18"/>
        </w:rPr>
        <w:t xml:space="preserve"> – dia período</w:t>
      </w:r>
    </w:p>
    <w:p w:rsidR="00F26452" w:rsidRPr="00A565DF" w:rsidRDefault="00F26452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F26452" w:rsidRPr="00A565DF" w:rsidRDefault="00F26452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A565DF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029075" cy="1619250"/>
            <wp:effectExtent l="0" t="0" r="0" b="0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96D7B" w:rsidRPr="00A565DF" w:rsidRDefault="00F96D7B" w:rsidP="00860CA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60CAB" w:rsidRPr="00A565DF" w:rsidRDefault="00D55C23" w:rsidP="00860CA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Mesmo</w:t>
      </w:r>
      <w:r w:rsidR="009757D9" w:rsidRPr="00A565DF">
        <w:rPr>
          <w:rFonts w:ascii="Arial" w:hAnsi="Arial" w:cs="Arial"/>
          <w:sz w:val="24"/>
          <w:szCs w:val="24"/>
        </w:rPr>
        <w:t xml:space="preserve"> com a quantidade de bloqueios técnicos diários </w:t>
      </w:r>
      <w:r w:rsidRPr="00A565DF">
        <w:rPr>
          <w:rFonts w:ascii="Arial" w:hAnsi="Arial" w:cs="Arial"/>
          <w:sz w:val="24"/>
          <w:szCs w:val="24"/>
        </w:rPr>
        <w:t xml:space="preserve">devido à demanda por leitos de isolamento, o HDT </w:t>
      </w:r>
      <w:r w:rsidR="009757D9" w:rsidRPr="00A565DF">
        <w:rPr>
          <w:rFonts w:ascii="Arial" w:hAnsi="Arial" w:cs="Arial"/>
          <w:sz w:val="24"/>
          <w:szCs w:val="24"/>
        </w:rPr>
        <w:t xml:space="preserve">alcançou a meta contratada no mês de </w:t>
      </w:r>
      <w:r w:rsidRPr="00A565DF">
        <w:rPr>
          <w:rFonts w:ascii="Arial" w:hAnsi="Arial" w:cs="Arial"/>
          <w:b/>
          <w:sz w:val="24"/>
          <w:szCs w:val="24"/>
        </w:rPr>
        <w:t>dezembro</w:t>
      </w:r>
      <w:r w:rsidR="00373764" w:rsidRPr="00A565DF">
        <w:rPr>
          <w:rFonts w:ascii="Arial" w:hAnsi="Arial" w:cs="Arial"/>
          <w:sz w:val="24"/>
          <w:szCs w:val="24"/>
        </w:rPr>
        <w:t>.</w:t>
      </w:r>
      <w:r w:rsidR="009757D9" w:rsidRPr="00A565DF">
        <w:rPr>
          <w:rFonts w:ascii="Arial" w:hAnsi="Arial" w:cs="Arial"/>
          <w:sz w:val="24"/>
          <w:szCs w:val="24"/>
        </w:rPr>
        <w:t xml:space="preserve"> </w:t>
      </w:r>
      <w:r w:rsidR="00860CAB" w:rsidRPr="00A565DF">
        <w:rPr>
          <w:rFonts w:ascii="Arial" w:hAnsi="Arial" w:cs="Arial"/>
          <w:sz w:val="24"/>
          <w:szCs w:val="24"/>
        </w:rPr>
        <w:t xml:space="preserve"> </w:t>
      </w:r>
    </w:p>
    <w:p w:rsidR="00860CAB" w:rsidRDefault="00860CAB" w:rsidP="00860CA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02F31" w:rsidRDefault="00702F31" w:rsidP="00860CA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02F31" w:rsidRPr="00A565DF" w:rsidRDefault="00702F31" w:rsidP="00860CA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54CDB" w:rsidRPr="00A565DF" w:rsidRDefault="00354CDB" w:rsidP="00860CAB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Média de Permanência Hospitalar ≤ 10 dias</w:t>
      </w:r>
    </w:p>
    <w:p w:rsidR="00860CAB" w:rsidRPr="00A565DF" w:rsidRDefault="00860CAB" w:rsidP="00860CAB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1131D6" w:rsidRPr="00A565DF" w:rsidRDefault="001131D6" w:rsidP="00A565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  <w:u w:val="single"/>
        </w:rPr>
        <w:t>Conceituação:</w:t>
      </w:r>
      <w:r w:rsidRPr="00A565DF">
        <w:rPr>
          <w:rFonts w:ascii="Arial" w:hAnsi="Arial" w:cs="Arial"/>
          <w:sz w:val="24"/>
          <w:szCs w:val="24"/>
        </w:rPr>
        <w:t xml:space="preserve"> Relação entre o total </w:t>
      </w:r>
      <w:proofErr w:type="gramStart"/>
      <w:r w:rsidRPr="00A565DF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A565DF">
        <w:rPr>
          <w:rFonts w:ascii="Arial" w:hAnsi="Arial" w:cs="Arial"/>
          <w:sz w:val="24"/>
          <w:szCs w:val="24"/>
        </w:rPr>
        <w:t>de</w:t>
      </w:r>
      <w:proofErr w:type="spellEnd"/>
      <w:proofErr w:type="gramEnd"/>
      <w:r w:rsidRPr="00A565DF">
        <w:rPr>
          <w:rFonts w:ascii="Arial" w:hAnsi="Arial" w:cs="Arial"/>
          <w:sz w:val="24"/>
          <w:szCs w:val="24"/>
        </w:rPr>
        <w:t xml:space="preserve"> pacientes-dia no período e o total de pacientes egressos do hospital. R</w:t>
      </w:r>
      <w:r w:rsidR="00157CAD" w:rsidRPr="00A565DF">
        <w:rPr>
          <w:rFonts w:ascii="Arial" w:hAnsi="Arial" w:cs="Arial"/>
          <w:sz w:val="24"/>
          <w:szCs w:val="24"/>
        </w:rPr>
        <w:t xml:space="preserve">epresenta o tempo médio em dias que os </w:t>
      </w:r>
      <w:r w:rsidRPr="00A565DF">
        <w:rPr>
          <w:rFonts w:ascii="Arial" w:hAnsi="Arial" w:cs="Arial"/>
          <w:sz w:val="24"/>
          <w:szCs w:val="24"/>
        </w:rPr>
        <w:t xml:space="preserve">pacientes permanecem internados. </w:t>
      </w:r>
    </w:p>
    <w:p w:rsidR="00157CAD" w:rsidRPr="00A565DF" w:rsidRDefault="00157CAD" w:rsidP="00A565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Está relac</w:t>
      </w:r>
      <w:r w:rsidR="001131D6" w:rsidRPr="00A565DF">
        <w:rPr>
          <w:rFonts w:ascii="Arial" w:hAnsi="Arial" w:cs="Arial"/>
          <w:sz w:val="24"/>
          <w:szCs w:val="24"/>
        </w:rPr>
        <w:t>ionado a boas práticas clínicas e</w:t>
      </w:r>
      <w:r w:rsidRPr="00A565DF">
        <w:rPr>
          <w:rFonts w:ascii="Arial" w:hAnsi="Arial" w:cs="Arial"/>
          <w:sz w:val="24"/>
          <w:szCs w:val="24"/>
        </w:rPr>
        <w:t xml:space="preserve"> é um indicador clássico de desempenho</w:t>
      </w:r>
      <w:r w:rsidR="001131D6" w:rsidRPr="00A565DF">
        <w:rPr>
          <w:rFonts w:ascii="Arial" w:hAnsi="Arial" w:cs="Arial"/>
          <w:sz w:val="24"/>
          <w:szCs w:val="24"/>
        </w:rPr>
        <w:t xml:space="preserve"> hospitalar relacionado à</w:t>
      </w:r>
      <w:r w:rsidRPr="00A565DF"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860CAB" w:rsidRPr="00A565DF" w:rsidRDefault="00860CA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157CAD" w:rsidRPr="00A565DF" w:rsidRDefault="00157CAD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18"/>
          <w:szCs w:val="18"/>
        </w:rPr>
      </w:pPr>
      <w:r w:rsidRPr="00A565DF">
        <w:rPr>
          <w:rFonts w:ascii="Arial" w:hAnsi="Arial" w:cs="Arial"/>
          <w:sz w:val="18"/>
          <w:szCs w:val="18"/>
        </w:rPr>
        <w:t xml:space="preserve">Fórmula:     </w:t>
      </w:r>
      <w:r w:rsidR="0005522C" w:rsidRPr="00A565DF">
        <w:rPr>
          <w:rFonts w:ascii="Arial" w:hAnsi="Arial" w:cs="Arial"/>
          <w:sz w:val="18"/>
          <w:szCs w:val="18"/>
        </w:rPr>
        <w:t xml:space="preserve">  </w:t>
      </w:r>
      <w:r w:rsidR="0005522C" w:rsidRPr="00A565DF">
        <w:rPr>
          <w:rFonts w:ascii="Arial" w:hAnsi="Arial" w:cs="Arial"/>
          <w:i/>
          <w:sz w:val="18"/>
          <w:szCs w:val="18"/>
        </w:rPr>
        <w:t>__</w:t>
      </w:r>
      <w:r w:rsidR="0005522C" w:rsidRPr="00A565DF">
        <w:rPr>
          <w:rFonts w:ascii="Arial" w:hAnsi="Arial" w:cs="Arial"/>
          <w:i/>
          <w:sz w:val="18"/>
          <w:szCs w:val="18"/>
          <w:u w:val="single"/>
        </w:rPr>
        <w:t>Total de paciente – dia no período__</w:t>
      </w:r>
      <w:proofErr w:type="gramStart"/>
      <w:r w:rsidR="0005522C" w:rsidRPr="00A565DF">
        <w:rPr>
          <w:rFonts w:ascii="Arial" w:hAnsi="Arial" w:cs="Arial"/>
          <w:i/>
          <w:sz w:val="18"/>
          <w:szCs w:val="18"/>
          <w:u w:val="single"/>
        </w:rPr>
        <w:t xml:space="preserve">  </w:t>
      </w:r>
    </w:p>
    <w:p w:rsidR="0005522C" w:rsidRPr="00A565DF" w:rsidRDefault="0005522C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18"/>
          <w:szCs w:val="18"/>
        </w:rPr>
      </w:pPr>
      <w:proofErr w:type="gramEnd"/>
      <w:r w:rsidRPr="00A565DF">
        <w:rPr>
          <w:rFonts w:ascii="Arial" w:hAnsi="Arial" w:cs="Arial"/>
          <w:i/>
          <w:sz w:val="18"/>
          <w:szCs w:val="18"/>
        </w:rPr>
        <w:tab/>
      </w:r>
      <w:r w:rsidRPr="00A565DF">
        <w:rPr>
          <w:rFonts w:ascii="Arial" w:hAnsi="Arial" w:cs="Arial"/>
          <w:i/>
          <w:sz w:val="18"/>
          <w:szCs w:val="18"/>
        </w:rPr>
        <w:tab/>
        <w:t xml:space="preserve">              Total de saídas no período</w:t>
      </w:r>
    </w:p>
    <w:p w:rsidR="00860CAB" w:rsidRPr="00A565DF" w:rsidRDefault="00860CAB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05522C" w:rsidRPr="00A565DF" w:rsidRDefault="00860CAB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A565DF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076700" cy="1495425"/>
            <wp:effectExtent l="0" t="0" r="0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522C" w:rsidRPr="00A565DF" w:rsidRDefault="0005522C" w:rsidP="000B7F6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757D9" w:rsidRPr="00A565DF" w:rsidRDefault="0005522C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O gerenciamento de protocolos clínicos pode contribuir para facilitar a gestão da média de permanência hospitalar para as patologias de maior relevância no hospital.</w:t>
      </w:r>
      <w:r w:rsidR="000D0A29" w:rsidRPr="00A565DF">
        <w:rPr>
          <w:rFonts w:ascii="Arial" w:hAnsi="Arial" w:cs="Arial"/>
          <w:sz w:val="24"/>
          <w:szCs w:val="24"/>
        </w:rPr>
        <w:t xml:space="preserve"> </w:t>
      </w:r>
    </w:p>
    <w:p w:rsidR="001131D6" w:rsidRPr="00A565DF" w:rsidRDefault="001131D6" w:rsidP="001131D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O contexto pandêmico é responsável por uma demanda significativa de pacientes com quadros graves e complexos, que necessitam de tratamentos prolongados, além das demais patologias atendidas no HDT que já apresentam esse perfil. Ainda assim, o HDT manteve-se dentro da meta pactuada no mês de </w:t>
      </w:r>
      <w:r w:rsidRPr="00A565DF">
        <w:rPr>
          <w:rFonts w:ascii="Arial" w:hAnsi="Arial" w:cs="Arial"/>
          <w:b/>
          <w:sz w:val="24"/>
          <w:szCs w:val="24"/>
        </w:rPr>
        <w:t>dezembro</w:t>
      </w:r>
      <w:r w:rsidRPr="00A565DF">
        <w:rPr>
          <w:rFonts w:ascii="Arial" w:hAnsi="Arial" w:cs="Arial"/>
          <w:sz w:val="24"/>
          <w:szCs w:val="24"/>
        </w:rPr>
        <w:t xml:space="preserve">. </w:t>
      </w:r>
    </w:p>
    <w:p w:rsidR="000B7F66" w:rsidRPr="00A565DF" w:rsidRDefault="000B7F66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54CDB" w:rsidRPr="00A565DF" w:rsidRDefault="00354CDB" w:rsidP="000B7F66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0B7F66" w:rsidRPr="00A565DF" w:rsidRDefault="000B7F66" w:rsidP="000B7F66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24FB8" w:rsidRPr="00A565DF" w:rsidRDefault="00F24FB8" w:rsidP="00F24FB8">
      <w:pPr>
        <w:pStyle w:val="NormalWeb"/>
        <w:spacing w:before="0" w:beforeAutospacing="0" w:after="0" w:line="360" w:lineRule="auto"/>
        <w:ind w:firstLine="709"/>
        <w:jc w:val="both"/>
        <w:rPr>
          <w:rFonts w:ascii="Arial" w:hAnsi="Arial" w:cs="Arial"/>
        </w:rPr>
      </w:pPr>
      <w:r w:rsidRPr="00A565DF">
        <w:rPr>
          <w:rFonts w:ascii="Arial" w:hAnsi="Arial" w:cs="Arial"/>
          <w:u w:val="single"/>
        </w:rPr>
        <w:t>Conceituação:</w:t>
      </w:r>
      <w:r w:rsidRPr="00A565DF">
        <w:rPr>
          <w:rFonts w:ascii="Arial" w:hAnsi="Arial" w:cs="Arial"/>
        </w:rPr>
        <w:t xml:space="preserve"> Assinala o tempo médio em que um leito permanece desocupado, entre a saída de um paciente e a admissão de outro. Essa medida relaciona a taxa de ocupação com a média de permanência. </w:t>
      </w:r>
    </w:p>
    <w:p w:rsidR="000B7F66" w:rsidRPr="00A565DF" w:rsidRDefault="000B7F66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5522C" w:rsidRPr="00A565DF" w:rsidRDefault="0005522C" w:rsidP="00B869B0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pt-BR"/>
        </w:rPr>
      </w:pPr>
      <w:r w:rsidRPr="00A565DF">
        <w:rPr>
          <w:rFonts w:ascii="Arial" w:hAnsi="Arial" w:cs="Arial"/>
          <w:sz w:val="18"/>
          <w:szCs w:val="18"/>
          <w:shd w:val="clear" w:color="auto" w:fill="FFFFFF"/>
        </w:rPr>
        <w:t>Fórmula:</w:t>
      </w:r>
      <w:proofErr w:type="gramStart"/>
      <w:r w:rsidRPr="00A565DF">
        <w:rPr>
          <w:rFonts w:ascii="Arial" w:hAnsi="Arial" w:cs="Arial"/>
          <w:sz w:val="18"/>
          <w:szCs w:val="18"/>
          <w:shd w:val="clear" w:color="auto" w:fill="FFFFFF"/>
        </w:rPr>
        <w:t xml:space="preserve">   </w:t>
      </w:r>
      <w:proofErr w:type="gramEnd"/>
      <w:r w:rsidR="000B7F66"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>(1-Taxa</w:t>
      </w:r>
      <w:r w:rsidR="00FA552F"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 xml:space="preserve"> de ocupaçã</w:t>
      </w:r>
      <w:r w:rsidR="00502A30"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>o</w:t>
      </w:r>
      <w:r w:rsidR="00FA552F"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 xml:space="preserve"> operacional global)</w:t>
      </w:r>
      <w:r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 xml:space="preserve"> X Média de Permanência em </w:t>
      </w:r>
      <w:r w:rsidR="00FA552F"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>horas</w:t>
      </w:r>
    </w:p>
    <w:p w:rsidR="0005522C" w:rsidRPr="00A565DF" w:rsidRDefault="0005522C" w:rsidP="00B869B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sz w:val="18"/>
          <w:szCs w:val="18"/>
          <w:lang w:eastAsia="pt-BR"/>
        </w:rPr>
      </w:pPr>
      <w:r w:rsidRPr="00A565DF">
        <w:rPr>
          <w:rFonts w:ascii="Arial" w:eastAsia="Times New Roman" w:hAnsi="Arial" w:cs="Arial"/>
          <w:i/>
          <w:sz w:val="18"/>
          <w:szCs w:val="18"/>
          <w:lang w:eastAsia="pt-BR"/>
        </w:rPr>
        <w:lastRenderedPageBreak/>
        <w:t>T</w:t>
      </w:r>
      <w:r w:rsidR="000B7F66"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>a</w:t>
      </w:r>
      <w:r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>x</w:t>
      </w:r>
      <w:r w:rsidR="000B7F66"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>a</w:t>
      </w:r>
      <w:r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 xml:space="preserve"> de Ocupação </w:t>
      </w:r>
      <w:r w:rsidR="00FA552F"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>Operacional global</w:t>
      </w:r>
    </w:p>
    <w:p w:rsidR="000B7F66" w:rsidRPr="00A565DF" w:rsidRDefault="000B7F66" w:rsidP="00B869B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:rsidR="0005522C" w:rsidRPr="00A565DF" w:rsidRDefault="000B7F66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A565DF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076700" cy="1514475"/>
            <wp:effectExtent l="0" t="0" r="0" b="0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5522C" w:rsidRPr="00A565DF" w:rsidRDefault="0005522C" w:rsidP="00B869B0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3A3FA9" w:rsidRPr="00A565DF" w:rsidRDefault="000B7F66" w:rsidP="00012C1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Esse indicador </w:t>
      </w:r>
      <w:r w:rsidR="002D0628" w:rsidRPr="00A565DF">
        <w:rPr>
          <w:rFonts w:ascii="Arial" w:hAnsi="Arial" w:cs="Arial"/>
          <w:sz w:val="24"/>
          <w:szCs w:val="24"/>
        </w:rPr>
        <w:t xml:space="preserve">está diretamente ligado </w:t>
      </w:r>
      <w:r w:rsidR="00EE371D" w:rsidRPr="00A565DF">
        <w:rPr>
          <w:rFonts w:ascii="Arial" w:hAnsi="Arial" w:cs="Arial"/>
          <w:sz w:val="24"/>
          <w:szCs w:val="24"/>
        </w:rPr>
        <w:t>à</w:t>
      </w:r>
      <w:r w:rsidR="002D0628" w:rsidRPr="00A565DF">
        <w:rPr>
          <w:rFonts w:ascii="Arial" w:hAnsi="Arial" w:cs="Arial"/>
          <w:sz w:val="24"/>
          <w:szCs w:val="24"/>
        </w:rPr>
        <w:t xml:space="preserve"> média de permanência e a taxa de ocupação institucional, e por isso </w:t>
      </w:r>
      <w:r w:rsidR="00C10014" w:rsidRPr="00A565DF">
        <w:rPr>
          <w:rFonts w:ascii="Arial" w:hAnsi="Arial" w:cs="Arial"/>
          <w:sz w:val="24"/>
          <w:szCs w:val="24"/>
        </w:rPr>
        <w:t>pode sofrer interferência em sua variação.</w:t>
      </w:r>
      <w:r w:rsidR="00EE371D" w:rsidRPr="00A565DF">
        <w:rPr>
          <w:rFonts w:ascii="Arial" w:hAnsi="Arial" w:cs="Arial"/>
          <w:sz w:val="24"/>
          <w:szCs w:val="24"/>
        </w:rPr>
        <w:t xml:space="preserve"> </w:t>
      </w:r>
    </w:p>
    <w:p w:rsidR="00705D4D" w:rsidRPr="00A565DF" w:rsidRDefault="00705D4D" w:rsidP="00705D4D">
      <w:pPr>
        <w:pStyle w:val="NormalWeb"/>
        <w:spacing w:before="0" w:beforeAutospacing="0" w:after="0" w:line="36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A565DF">
        <w:rPr>
          <w:rFonts w:ascii="Arial" w:hAnsi="Arial" w:cs="Arial"/>
          <w:shd w:val="clear" w:color="auto" w:fill="FFFFFF"/>
        </w:rPr>
        <w:t xml:space="preserve">Em dezembro o HDT obteve 32 horas, estando dentro do previsto para este indicador, atingindo a meta contratual. </w:t>
      </w:r>
    </w:p>
    <w:p w:rsidR="00D9220F" w:rsidRPr="00A565DF" w:rsidRDefault="00D9220F" w:rsidP="000B7F66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427BC" w:rsidRPr="00A565DF" w:rsidRDefault="006427BC" w:rsidP="000B7F66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Percentual de Ocorrências de Rejeições no SIH</w:t>
      </w:r>
      <w:r w:rsidR="00CF7112" w:rsidRPr="00A565DF">
        <w:rPr>
          <w:rFonts w:ascii="Arial" w:hAnsi="Arial" w:cs="Arial"/>
          <w:b/>
          <w:color w:val="1F497D" w:themeColor="text2"/>
          <w:sz w:val="24"/>
          <w:szCs w:val="24"/>
        </w:rPr>
        <w:t xml:space="preserve"> ≤ 1%</w:t>
      </w:r>
    </w:p>
    <w:p w:rsidR="006427BC" w:rsidRPr="00A565DF" w:rsidRDefault="006427BC" w:rsidP="000B7F66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427BC" w:rsidRPr="00A565DF" w:rsidRDefault="006427BC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  <w:u w:val="single"/>
        </w:rPr>
        <w:t>Conceituação:</w:t>
      </w:r>
      <w:r w:rsidRPr="00A565DF">
        <w:rPr>
          <w:rFonts w:ascii="Arial" w:hAnsi="Arial" w:cs="Arial"/>
          <w:sz w:val="24"/>
          <w:szCs w:val="24"/>
        </w:rPr>
        <w:t xml:space="preserve"> mede a relação de procedimentos rejeitados no Sistema de Informações Hospitalares em relação ao total de procedimentos apresentados no mesmo Sistema, no período.</w:t>
      </w:r>
    </w:p>
    <w:p w:rsidR="006427BC" w:rsidRPr="00A565DF" w:rsidRDefault="006427BC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6427BC" w:rsidRPr="00A565DF" w:rsidRDefault="006427BC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781425" cy="1562100"/>
            <wp:effectExtent l="0" t="0" r="0" b="0"/>
            <wp:docPr id="1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427BC" w:rsidRPr="00A565DF" w:rsidRDefault="006427BC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6427BC" w:rsidRPr="00A565DF" w:rsidRDefault="006427BC" w:rsidP="006427BC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eastAsia="Times New Roman" w:hAnsi="Arial" w:cs="Arial"/>
          <w:sz w:val="24"/>
          <w:szCs w:val="24"/>
        </w:rPr>
        <w:t xml:space="preserve">Para o indicador analisado mantivemos o valor </w:t>
      </w:r>
      <w:r w:rsidR="00CF7112" w:rsidRPr="00A565DF">
        <w:rPr>
          <w:rFonts w:ascii="Arial" w:eastAsia="Times New Roman" w:hAnsi="Arial" w:cs="Arial"/>
          <w:sz w:val="24"/>
          <w:szCs w:val="24"/>
        </w:rPr>
        <w:t>abaixo de 1%</w:t>
      </w:r>
      <w:r w:rsidRPr="00A565DF">
        <w:rPr>
          <w:rFonts w:ascii="Arial" w:eastAsia="Times New Roman" w:hAnsi="Arial" w:cs="Arial"/>
          <w:sz w:val="24"/>
          <w:szCs w:val="24"/>
        </w:rPr>
        <w:t xml:space="preserve"> no mês de </w:t>
      </w:r>
      <w:r w:rsidRPr="00A565DF">
        <w:rPr>
          <w:rFonts w:ascii="Arial" w:eastAsia="Times New Roman" w:hAnsi="Arial" w:cs="Arial"/>
          <w:b/>
          <w:sz w:val="24"/>
          <w:szCs w:val="24"/>
        </w:rPr>
        <w:t>dezembro</w:t>
      </w:r>
      <w:r w:rsidRPr="00A565DF">
        <w:rPr>
          <w:rFonts w:ascii="Arial" w:eastAsia="Times New Roman" w:hAnsi="Arial" w:cs="Arial"/>
          <w:sz w:val="24"/>
          <w:szCs w:val="24"/>
        </w:rPr>
        <w:t xml:space="preserve">, ficando dentro da meta pactuada. </w:t>
      </w:r>
    </w:p>
    <w:p w:rsidR="006427BC" w:rsidRPr="00A565DF" w:rsidRDefault="006427BC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6427BC" w:rsidRDefault="006427BC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702F31" w:rsidRPr="00A565DF" w:rsidRDefault="00702F31" w:rsidP="006427B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354CDB" w:rsidRPr="00A565DF" w:rsidRDefault="00354CDB" w:rsidP="000B7F66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proofErr w:type="spellStart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Farmacovigilância</w:t>
      </w:r>
      <w:proofErr w:type="spellEnd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: Avaliação dos pacientes com relação ao uso racional de medicamentos ≥ 80%</w:t>
      </w:r>
    </w:p>
    <w:p w:rsidR="000B7F66" w:rsidRPr="00A565DF" w:rsidRDefault="000B7F66" w:rsidP="000B7F66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2C6552" w:rsidRPr="00A565DF" w:rsidRDefault="002C6552" w:rsidP="002C6552">
      <w:pPr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A565DF">
        <w:rPr>
          <w:rFonts w:ascii="Arial" w:hAnsi="Arial" w:cs="Arial"/>
          <w:sz w:val="24"/>
          <w:szCs w:val="24"/>
        </w:rPr>
        <w:t>Farmacovigilância</w:t>
      </w:r>
      <w:proofErr w:type="spellEnd"/>
      <w:r w:rsidRPr="00A565DF">
        <w:rPr>
          <w:rFonts w:ascii="Arial" w:hAnsi="Arial" w:cs="Arial"/>
          <w:sz w:val="24"/>
          <w:szCs w:val="24"/>
        </w:rPr>
        <w:t xml:space="preserve"> com relação ao Uso Racional de medicamentos é mensurada a partir da Avaliação farmacêutica das prescrições dos pacientes internados na Instituição. Utilizamos um software próprio para evidenciar a avaliação e</w:t>
      </w:r>
      <w:r w:rsidRPr="00A565DF">
        <w:rPr>
          <w:rFonts w:ascii="Arial" w:eastAsia="Times New Roman" w:hAnsi="Arial" w:cs="Arial"/>
          <w:sz w:val="24"/>
          <w:szCs w:val="24"/>
        </w:rPr>
        <w:t xml:space="preserve"> o farmacêutico identifica se a prescrição avaliada apresenta ou não Inconformidades.</w:t>
      </w:r>
    </w:p>
    <w:p w:rsidR="002C6552" w:rsidRPr="00A565DF" w:rsidRDefault="002C6552" w:rsidP="002C6552">
      <w:pPr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eastAsia="Times New Roman" w:hAnsi="Arial" w:cs="Arial"/>
          <w:sz w:val="24"/>
          <w:szCs w:val="24"/>
        </w:rPr>
        <w:t xml:space="preserve">No numerador trabalhamos o dado “Número total de pacientes avaliados pelo farmacêutico quanto ao uso racional de medicamentos”. Este dado é composto pela somatória dos seguintes dados: “Prescrição conforme” e “Inconformidades da Prescrição”. </w:t>
      </w:r>
    </w:p>
    <w:p w:rsidR="002C6552" w:rsidRPr="00A565DF" w:rsidRDefault="002C6552" w:rsidP="002C6552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No denominador “Número</w:t>
      </w:r>
      <w:r w:rsidRPr="00A565DF">
        <w:rPr>
          <w:rFonts w:ascii="Arial" w:hAnsi="Arial" w:cs="Arial"/>
          <w:iCs/>
          <w:sz w:val="24"/>
          <w:szCs w:val="24"/>
        </w:rPr>
        <w:t xml:space="preserve"> total de pacientes atendidos com medicação prescrita</w:t>
      </w:r>
      <w:r w:rsidRPr="00A565DF">
        <w:rPr>
          <w:rFonts w:ascii="Arial" w:hAnsi="Arial" w:cs="Arial"/>
          <w:sz w:val="24"/>
          <w:szCs w:val="24"/>
        </w:rPr>
        <w:t>” utilizamos o indicador denominado “Total geral de paciente dia/ mês”, baseado no dado do Banco de Indicadores da Instituição.</w:t>
      </w:r>
    </w:p>
    <w:p w:rsidR="002C6552" w:rsidRPr="00A565DF" w:rsidRDefault="002C6552" w:rsidP="002C6552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>A Avaliação técnica da prescrição pelo farmacêutico leva em consideração indicação de uso, dose, posologia, documentos obrigatórios, dentre outros; e permite evitar possíveis eventos adversos em decorrência do uso de medicamento.</w:t>
      </w:r>
    </w:p>
    <w:p w:rsidR="002C6552" w:rsidRPr="00A565DF" w:rsidRDefault="002C6552" w:rsidP="002C655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:rsidR="00277558" w:rsidRPr="00A565DF" w:rsidRDefault="00277558" w:rsidP="002C6552">
      <w:pPr>
        <w:shd w:val="clear" w:color="auto" w:fill="FFFFFF"/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A565DF">
        <w:rPr>
          <w:rFonts w:ascii="Arial" w:hAnsi="Arial" w:cs="Arial"/>
          <w:sz w:val="18"/>
          <w:szCs w:val="18"/>
          <w:shd w:val="clear" w:color="auto" w:fill="FFFFFF"/>
        </w:rPr>
        <w:t xml:space="preserve">Fórmula: </w:t>
      </w:r>
      <w:r w:rsidR="00682A29" w:rsidRPr="00A565DF">
        <w:rPr>
          <w:rFonts w:ascii="Arial" w:eastAsia="Times New Roman" w:hAnsi="Arial" w:cs="Arial"/>
          <w:sz w:val="18"/>
          <w:szCs w:val="18"/>
          <w:u w:val="single"/>
          <w:lang w:eastAsia="pt-BR"/>
        </w:rPr>
        <w:t>Nº total de pacientes avaliados pelo farmacêutico clínico quanto ao uso racional de medicamentos</w:t>
      </w:r>
    </w:p>
    <w:p w:rsidR="00277558" w:rsidRPr="00A565DF" w:rsidRDefault="00682A29" w:rsidP="00682A29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  <w:r w:rsidRPr="00A565DF">
        <w:rPr>
          <w:rFonts w:ascii="Arial" w:eastAsia="Times New Roman" w:hAnsi="Arial" w:cs="Arial"/>
          <w:sz w:val="18"/>
          <w:szCs w:val="18"/>
          <w:lang w:eastAsia="pt-BR"/>
        </w:rPr>
        <w:t>Nº total de pacientes atendidos com medicação prescrita</w:t>
      </w:r>
    </w:p>
    <w:p w:rsidR="00682A29" w:rsidRPr="00A565DF" w:rsidRDefault="00682A29" w:rsidP="00682A29">
      <w:pPr>
        <w:spacing w:after="0" w:line="360" w:lineRule="auto"/>
        <w:jc w:val="center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0B7F66" w:rsidRPr="00A565DF" w:rsidRDefault="000B7F66" w:rsidP="000B7F66">
      <w:pPr>
        <w:spacing w:after="0" w:line="360" w:lineRule="auto"/>
        <w:jc w:val="center"/>
        <w:rPr>
          <w:rFonts w:ascii="Arial" w:hAnsi="Arial" w:cs="Arial"/>
          <w:i/>
          <w:color w:val="1F497D" w:themeColor="text2"/>
          <w:sz w:val="24"/>
          <w:szCs w:val="24"/>
        </w:rPr>
      </w:pPr>
      <w:r w:rsidRPr="00A565DF">
        <w:rPr>
          <w:rFonts w:ascii="Arial" w:hAnsi="Arial" w:cs="Arial"/>
          <w:i/>
          <w:noProof/>
          <w:color w:val="1F497D" w:themeColor="text2"/>
          <w:sz w:val="24"/>
          <w:szCs w:val="24"/>
          <w:lang w:eastAsia="pt-BR"/>
        </w:rPr>
        <w:drawing>
          <wp:inline distT="0" distB="0" distL="0" distR="0">
            <wp:extent cx="4124325" cy="1657350"/>
            <wp:effectExtent l="0" t="0" r="0" b="0"/>
            <wp:docPr id="4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C6552" w:rsidRPr="00A565DF" w:rsidRDefault="002C6552" w:rsidP="002C655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565DF">
        <w:rPr>
          <w:rFonts w:ascii="Arial" w:hAnsi="Arial" w:cs="Arial"/>
          <w:sz w:val="24"/>
          <w:szCs w:val="24"/>
        </w:rPr>
        <w:t xml:space="preserve">No mês de </w:t>
      </w:r>
      <w:r w:rsidRPr="00A565DF">
        <w:rPr>
          <w:rFonts w:ascii="Arial" w:hAnsi="Arial" w:cs="Arial"/>
          <w:b/>
          <w:sz w:val="24"/>
          <w:szCs w:val="24"/>
        </w:rPr>
        <w:t>dezembro</w:t>
      </w:r>
      <w:r w:rsidRPr="00A565DF">
        <w:rPr>
          <w:rFonts w:ascii="Arial" w:hAnsi="Arial" w:cs="Arial"/>
          <w:sz w:val="24"/>
          <w:szCs w:val="24"/>
        </w:rPr>
        <w:t xml:space="preserve"> o indicador esteve dentro do valor previsto para essa atividade, atingindo a meta em sua totalidade. </w:t>
      </w:r>
    </w:p>
    <w:p w:rsidR="00C3530E" w:rsidRPr="00A565DF" w:rsidRDefault="00C3530E" w:rsidP="00C3530E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C3530E" w:rsidRPr="00A565DF" w:rsidRDefault="00C3530E" w:rsidP="000B7F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4CDB" w:rsidRPr="00A565DF" w:rsidRDefault="00354CDB" w:rsidP="00682A29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proofErr w:type="spellStart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Famacovigilância</w:t>
      </w:r>
      <w:proofErr w:type="spellEnd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: A</w:t>
      </w:r>
      <w:r w:rsidR="00F76E6C" w:rsidRPr="00A565DF">
        <w:rPr>
          <w:rFonts w:ascii="Arial" w:hAnsi="Arial" w:cs="Arial"/>
          <w:b/>
          <w:color w:val="1F497D" w:themeColor="text2"/>
          <w:sz w:val="24"/>
          <w:szCs w:val="24"/>
        </w:rPr>
        <w:t>valiação de reações adversas a M</w:t>
      </w:r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edicamentos</w:t>
      </w:r>
      <w:proofErr w:type="gramStart"/>
      <w:r w:rsidR="00F76E6C" w:rsidRPr="00A565DF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proofErr w:type="gramEnd"/>
      <w:r w:rsidRPr="00A565DF">
        <w:rPr>
          <w:rFonts w:ascii="Arial" w:hAnsi="Arial" w:cs="Arial"/>
          <w:b/>
          <w:color w:val="1F497D" w:themeColor="text2"/>
          <w:sz w:val="24"/>
          <w:szCs w:val="24"/>
        </w:rPr>
        <w:t>RAM quanto a gravidade ≥ 70%</w:t>
      </w:r>
    </w:p>
    <w:p w:rsidR="00682A29" w:rsidRPr="00A565DF" w:rsidRDefault="00682A29" w:rsidP="00682A29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55DFD" w:rsidRPr="00A565DF" w:rsidRDefault="00755DFD" w:rsidP="00755DFD">
      <w:pPr>
        <w:tabs>
          <w:tab w:val="left" w:pos="-284"/>
          <w:tab w:val="left" w:pos="567"/>
          <w:tab w:val="left" w:pos="8787"/>
        </w:tabs>
        <w:spacing w:after="0" w:line="360" w:lineRule="auto"/>
        <w:ind w:right="284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eastAsia="Times New Roman" w:hAnsi="Arial" w:cs="Arial"/>
          <w:sz w:val="24"/>
          <w:szCs w:val="24"/>
        </w:rPr>
        <w:t xml:space="preserve">A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Farmacovigilância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relacionada à avaliação de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RAM’s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é realizada no HDT a partir da metodologia de Ferramenta de Rastreamento Global do </w:t>
      </w:r>
      <w:proofErr w:type="spellStart"/>
      <w:r w:rsidRPr="00A565DF">
        <w:rPr>
          <w:rFonts w:ascii="Arial" w:eastAsia="Times New Roman" w:hAnsi="Arial" w:cs="Arial"/>
          <w:i/>
          <w:sz w:val="24"/>
          <w:szCs w:val="24"/>
        </w:rPr>
        <w:t>Institute</w:t>
      </w:r>
      <w:proofErr w:type="spellEnd"/>
      <w:r w:rsidRPr="00A565DF">
        <w:rPr>
          <w:rFonts w:ascii="Arial" w:eastAsia="Times New Roman" w:hAnsi="Arial" w:cs="Arial"/>
          <w:i/>
          <w:sz w:val="24"/>
          <w:szCs w:val="24"/>
        </w:rPr>
        <w:t xml:space="preserve"> </w:t>
      </w:r>
      <w:proofErr w:type="spellStart"/>
      <w:r w:rsidRPr="00A565DF">
        <w:rPr>
          <w:rFonts w:ascii="Arial" w:eastAsia="Times New Roman" w:hAnsi="Arial" w:cs="Arial"/>
          <w:i/>
          <w:sz w:val="24"/>
          <w:szCs w:val="24"/>
        </w:rPr>
        <w:t>Healthcare</w:t>
      </w:r>
      <w:proofErr w:type="spellEnd"/>
      <w:r w:rsidRPr="00A565DF">
        <w:rPr>
          <w:rFonts w:ascii="Arial" w:eastAsia="Times New Roman" w:hAnsi="Arial" w:cs="Arial"/>
          <w:i/>
          <w:sz w:val="24"/>
          <w:szCs w:val="24"/>
        </w:rPr>
        <w:t xml:space="preserve"> </w:t>
      </w:r>
      <w:proofErr w:type="spellStart"/>
      <w:r w:rsidRPr="00A565DF">
        <w:rPr>
          <w:rFonts w:ascii="Arial" w:eastAsia="Times New Roman" w:hAnsi="Arial" w:cs="Arial"/>
          <w:i/>
          <w:sz w:val="24"/>
          <w:szCs w:val="24"/>
        </w:rPr>
        <w:t>Improvement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(IHI) para a Medição de Eventos Adversos, onde </w:t>
      </w:r>
      <w:proofErr w:type="gramStart"/>
      <w:r w:rsidRPr="00A565DF">
        <w:rPr>
          <w:rFonts w:ascii="Arial" w:eastAsia="Times New Roman" w:hAnsi="Arial" w:cs="Arial"/>
          <w:sz w:val="24"/>
          <w:szCs w:val="24"/>
        </w:rPr>
        <w:t>utiliza-se</w:t>
      </w:r>
      <w:proofErr w:type="gramEnd"/>
      <w:r w:rsidRPr="00A565DF">
        <w:rPr>
          <w:rFonts w:ascii="Arial" w:eastAsia="Times New Roman" w:hAnsi="Arial" w:cs="Arial"/>
          <w:sz w:val="24"/>
          <w:szCs w:val="24"/>
        </w:rPr>
        <w:t xml:space="preserve"> medicamentos rastreadores ou “medicamentos gatilhos”. </w:t>
      </w:r>
    </w:p>
    <w:p w:rsidR="00755DFD" w:rsidRPr="00A565DF" w:rsidRDefault="00755DFD" w:rsidP="00755DFD">
      <w:pPr>
        <w:tabs>
          <w:tab w:val="left" w:pos="-284"/>
          <w:tab w:val="left" w:pos="567"/>
          <w:tab w:val="left" w:pos="8787"/>
        </w:tabs>
        <w:spacing w:after="0" w:line="360" w:lineRule="auto"/>
        <w:ind w:right="284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eastAsia="Times New Roman" w:hAnsi="Arial" w:cs="Arial"/>
          <w:sz w:val="24"/>
          <w:szCs w:val="24"/>
        </w:rPr>
        <w:t xml:space="preserve">Elencamos como medicamentos rastreadores àqueles a base da substância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Anfotericina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devido ao grande consumo na instituição e grande probabilidade de ocorrência de reações adversas.</w:t>
      </w:r>
    </w:p>
    <w:p w:rsidR="00755DFD" w:rsidRPr="00A565DF" w:rsidRDefault="00755DFD" w:rsidP="00755DFD">
      <w:pPr>
        <w:tabs>
          <w:tab w:val="left" w:pos="-284"/>
          <w:tab w:val="left" w:pos="567"/>
          <w:tab w:val="left" w:pos="8787"/>
        </w:tabs>
        <w:spacing w:after="0" w:line="360" w:lineRule="auto"/>
        <w:ind w:right="284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A565DF">
        <w:rPr>
          <w:rFonts w:ascii="Arial" w:eastAsia="Times New Roman" w:hAnsi="Arial" w:cs="Arial"/>
          <w:sz w:val="24"/>
          <w:szCs w:val="24"/>
        </w:rPr>
        <w:t xml:space="preserve">Para análise verificamos os pacientes em uso dos medicamentos rastreadores e se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RAM’s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foram observadas. Essas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RAM’s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são avaliadas quanto a sua Causalidade e Gravidade, através do Algoritmo de </w:t>
      </w:r>
      <w:proofErr w:type="spellStart"/>
      <w:r w:rsidRPr="00A565DF">
        <w:rPr>
          <w:rFonts w:ascii="Arial" w:eastAsia="Times New Roman" w:hAnsi="Arial" w:cs="Arial"/>
          <w:sz w:val="24"/>
          <w:szCs w:val="24"/>
        </w:rPr>
        <w:t>Naranjo</w:t>
      </w:r>
      <w:proofErr w:type="spellEnd"/>
      <w:r w:rsidRPr="00A565DF">
        <w:rPr>
          <w:rFonts w:ascii="Arial" w:eastAsia="Times New Roman" w:hAnsi="Arial" w:cs="Arial"/>
          <w:sz w:val="24"/>
          <w:szCs w:val="24"/>
        </w:rPr>
        <w:t xml:space="preserve"> e Classificação de gravidade de evento adverso do Ministério da Saúde (MS), respectivamente. </w:t>
      </w:r>
    </w:p>
    <w:p w:rsidR="00755DFD" w:rsidRPr="00A565DF" w:rsidRDefault="00755DFD" w:rsidP="00682A29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82A29" w:rsidRPr="00A565DF" w:rsidRDefault="00682A29" w:rsidP="00682A29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pt-BR"/>
        </w:rPr>
      </w:pPr>
      <w:r w:rsidRPr="00A565DF">
        <w:rPr>
          <w:rFonts w:ascii="Arial" w:hAnsi="Arial" w:cs="Arial"/>
          <w:sz w:val="18"/>
          <w:szCs w:val="18"/>
          <w:shd w:val="clear" w:color="auto" w:fill="FFFFFF"/>
        </w:rPr>
        <w:t xml:space="preserve">Fórmula: </w:t>
      </w:r>
      <w:r w:rsidR="00AA247D" w:rsidRPr="00A565DF">
        <w:rPr>
          <w:rFonts w:ascii="Arial" w:hAnsi="Arial" w:cs="Arial"/>
          <w:sz w:val="18"/>
          <w:szCs w:val="18"/>
          <w:shd w:val="clear" w:color="auto" w:fill="FFFFFF"/>
        </w:rPr>
        <w:t xml:space="preserve">             </w:t>
      </w:r>
      <w:r w:rsidR="00AA247D" w:rsidRPr="00A565DF">
        <w:rPr>
          <w:rFonts w:ascii="Arial" w:hAnsi="Arial" w:cs="Arial"/>
          <w:i/>
          <w:sz w:val="18"/>
          <w:szCs w:val="18"/>
          <w:shd w:val="clear" w:color="auto" w:fill="FFFFFF"/>
        </w:rPr>
        <w:t>______</w:t>
      </w:r>
      <w:r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>Nº</w:t>
      </w:r>
      <w:r w:rsidR="00AA247D"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 xml:space="preserve"> de RAM avaliadas quanto à gravidade________</w:t>
      </w:r>
      <w:r w:rsidRPr="00A565DF">
        <w:rPr>
          <w:rFonts w:ascii="Arial" w:eastAsia="Times New Roman" w:hAnsi="Arial" w:cs="Arial"/>
          <w:i/>
          <w:sz w:val="18"/>
          <w:szCs w:val="18"/>
          <w:u w:val="single"/>
          <w:lang w:eastAsia="pt-BR"/>
        </w:rPr>
        <w:t xml:space="preserve"> </w:t>
      </w:r>
    </w:p>
    <w:p w:rsidR="00682A29" w:rsidRPr="00A565DF" w:rsidRDefault="00AA247D" w:rsidP="00682A29">
      <w:pPr>
        <w:spacing w:after="0" w:line="360" w:lineRule="auto"/>
        <w:jc w:val="center"/>
        <w:rPr>
          <w:rFonts w:ascii="Arial" w:eastAsia="Times New Roman" w:hAnsi="Arial" w:cs="Arial"/>
          <w:i/>
          <w:sz w:val="18"/>
          <w:szCs w:val="18"/>
          <w:lang w:eastAsia="pt-BR"/>
        </w:rPr>
      </w:pPr>
      <w:r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 xml:space="preserve">           </w:t>
      </w:r>
      <w:r w:rsidR="00682A29"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 xml:space="preserve">Nº total de pacientes </w:t>
      </w:r>
      <w:r w:rsidRPr="00A565DF">
        <w:rPr>
          <w:rFonts w:ascii="Arial" w:eastAsia="Times New Roman" w:hAnsi="Arial" w:cs="Arial"/>
          <w:i/>
          <w:sz w:val="18"/>
          <w:szCs w:val="18"/>
          <w:lang w:eastAsia="pt-BR"/>
        </w:rPr>
        <w:t xml:space="preserve">identificados com RAM </w:t>
      </w:r>
    </w:p>
    <w:p w:rsidR="00AA247D" w:rsidRPr="00A565DF" w:rsidRDefault="00AA247D" w:rsidP="00682A29">
      <w:pPr>
        <w:spacing w:after="0" w:line="360" w:lineRule="auto"/>
        <w:jc w:val="center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:rsidR="00682A29" w:rsidRPr="00A565DF" w:rsidRDefault="00AA247D" w:rsidP="00AA247D">
      <w:pPr>
        <w:spacing w:after="0" w:line="360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A565DF"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drawing>
          <wp:inline distT="0" distB="0" distL="0" distR="0">
            <wp:extent cx="4067175" cy="1657350"/>
            <wp:effectExtent l="0" t="0" r="0" b="0"/>
            <wp:docPr id="4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B6C72" w:rsidRPr="00A565DF" w:rsidRDefault="00DB6C72" w:rsidP="00DB6C72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932EFD" w:rsidRPr="00702F31" w:rsidRDefault="00193347" w:rsidP="00702F31">
      <w:pPr>
        <w:pStyle w:val="NormalWeb"/>
        <w:spacing w:before="0" w:beforeAutospacing="0" w:after="0" w:line="360" w:lineRule="auto"/>
        <w:ind w:firstLine="708"/>
        <w:jc w:val="both"/>
        <w:rPr>
          <w:rFonts w:ascii="Arial" w:hAnsi="Arial" w:cs="Arial"/>
        </w:rPr>
      </w:pPr>
      <w:r w:rsidRPr="00A565DF">
        <w:rPr>
          <w:rFonts w:ascii="Arial" w:hAnsi="Arial" w:cs="Arial"/>
        </w:rPr>
        <w:t xml:space="preserve">No mês de </w:t>
      </w:r>
      <w:r w:rsidRPr="00A565DF">
        <w:rPr>
          <w:rFonts w:ascii="Arial" w:hAnsi="Arial" w:cs="Arial"/>
          <w:b/>
        </w:rPr>
        <w:t>dezembro</w:t>
      </w:r>
      <w:r w:rsidRPr="00A565DF">
        <w:rPr>
          <w:rFonts w:ascii="Arial" w:hAnsi="Arial" w:cs="Arial"/>
        </w:rPr>
        <w:t xml:space="preserve"> este indicador esteve dentro do valor previsto para essa atividade, atingindo a meta em sua totalidade. </w:t>
      </w:r>
      <w:r w:rsidR="007F6363" w:rsidRPr="00A565DF">
        <w:rPr>
          <w:rFonts w:ascii="Arial" w:hAnsi="Arial" w:cs="Arial"/>
        </w:rPr>
        <w:br w:type="page"/>
      </w:r>
    </w:p>
    <w:p w:rsidR="007F6363" w:rsidRPr="00A565DF" w:rsidRDefault="004C104C" w:rsidP="001D044B">
      <w:pPr>
        <w:pStyle w:val="Ttulo1"/>
        <w:numPr>
          <w:ilvl w:val="0"/>
          <w:numId w:val="2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565DF">
        <w:rPr>
          <w:rFonts w:ascii="Arial" w:hAnsi="Arial" w:cs="Arial"/>
          <w:color w:val="000000" w:themeColor="text1"/>
          <w:sz w:val="24"/>
          <w:szCs w:val="24"/>
        </w:rPr>
        <w:lastRenderedPageBreak/>
        <w:t>AÇÕES E ATIVIDADES</w:t>
      </w:r>
    </w:p>
    <w:p w:rsidR="00F0678F" w:rsidRPr="00A565DF" w:rsidRDefault="00F0678F" w:rsidP="00F0678F">
      <w:pPr>
        <w:rPr>
          <w:rFonts w:ascii="Arial" w:hAnsi="Arial" w:cs="Arial"/>
          <w:sz w:val="24"/>
          <w:szCs w:val="24"/>
        </w:rPr>
      </w:pPr>
    </w:p>
    <w:p w:rsidR="00337DC2" w:rsidRPr="00A565DF" w:rsidRDefault="00337DC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55D7C" w:rsidRPr="00A565DF" w:rsidRDefault="0068065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pict>
          <v:shape id="_x0000_s1030" type="#_x0000_t202" style="position:absolute;left:0;text-align:left;margin-left:-6.9pt;margin-top:2.05pt;width:438.6pt;height:35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" stroked="f">
            <v:textbox style="mso-next-textbox:#_x0000_s1030">
              <w:txbxContent>
                <w:p w:rsidR="00B37D5D" w:rsidRPr="00A565DF" w:rsidRDefault="00B37D5D" w:rsidP="001D044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65DF">
                    <w:rPr>
                      <w:rFonts w:ascii="Arial" w:hAnsi="Arial" w:cs="Arial"/>
                      <w:sz w:val="24"/>
                      <w:szCs w:val="24"/>
                    </w:rPr>
                    <w:t>01.12.20 - Ações de adesão à campanha do Dia Mundial de Combate à AIDS</w:t>
                  </w:r>
                </w:p>
              </w:txbxContent>
            </v:textbox>
          </v:shape>
        </w:pict>
      </w:r>
    </w:p>
    <w:p w:rsidR="00670613" w:rsidRPr="00A565DF" w:rsidRDefault="001D044B" w:rsidP="00C55D7C">
      <w:pPr>
        <w:spacing w:after="0" w:line="360" w:lineRule="auto"/>
        <w:ind w:left="-1134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A565DF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229870</wp:posOffset>
            </wp:positionV>
            <wp:extent cx="3657600" cy="2438400"/>
            <wp:effectExtent l="19050" t="0" r="0" b="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8 at 15.53.4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D7C" w:rsidRPr="00A565DF" w:rsidRDefault="00C55D7C" w:rsidP="00C55D7C">
      <w:pPr>
        <w:spacing w:after="0" w:line="360" w:lineRule="auto"/>
        <w:ind w:left="-1134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55D7C" w:rsidRPr="00A565DF" w:rsidRDefault="00C55D7C" w:rsidP="00C55D7C">
      <w:pPr>
        <w:spacing w:after="0" w:line="360" w:lineRule="auto"/>
        <w:ind w:left="-1134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55D7C" w:rsidRPr="00A565DF" w:rsidRDefault="00C55D7C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55D7C" w:rsidRPr="00A565DF" w:rsidRDefault="00C55D7C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55D7C" w:rsidRPr="00A565DF" w:rsidRDefault="00C55D7C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0678F" w:rsidRPr="00A565DF" w:rsidRDefault="00F0678F" w:rsidP="00670613">
      <w:pPr>
        <w:spacing w:after="0" w:line="360" w:lineRule="auto"/>
        <w:ind w:left="-993"/>
        <w:rPr>
          <w:rFonts w:ascii="Arial" w:hAnsi="Arial" w:cs="Arial"/>
          <w:b/>
          <w:color w:val="FF0000"/>
          <w:sz w:val="24"/>
          <w:szCs w:val="24"/>
        </w:rPr>
      </w:pPr>
    </w:p>
    <w:p w:rsidR="00337DC2" w:rsidRPr="00A565DF" w:rsidRDefault="00337DC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p w:rsidR="00546FE2" w:rsidRPr="00A565DF" w:rsidRDefault="00546FE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D044B" w:rsidRPr="00A565DF" w:rsidRDefault="001D044B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D044B" w:rsidRPr="00A565DF" w:rsidRDefault="001D044B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46FE2" w:rsidRPr="00A565DF" w:rsidRDefault="00546FE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46FE2" w:rsidRPr="00A565DF" w:rsidRDefault="00546FE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D044B" w:rsidRPr="00A565DF" w:rsidRDefault="001D044B" w:rsidP="001D044B">
      <w:pPr>
        <w:pStyle w:val="NormalWeb"/>
        <w:spacing w:before="0" w:beforeAutospacing="0" w:after="0"/>
        <w:ind w:left="-426"/>
        <w:jc w:val="both"/>
        <w:rPr>
          <w:rFonts w:ascii="Arial" w:eastAsiaTheme="minorEastAsia" w:hAnsi="Arial" w:cs="Arial"/>
        </w:rPr>
      </w:pPr>
      <w:r w:rsidRPr="00A565DF">
        <w:rPr>
          <w:rFonts w:ascii="Arial" w:eastAsiaTheme="minorEastAsia" w:hAnsi="Arial" w:cs="Arial"/>
        </w:rPr>
        <w:t>11.12.20 - Secretário de Estado da Saúde de Goiás, Ismael Alexandrino, visita o HDT para uma manhã com diversas ações.</w:t>
      </w:r>
    </w:p>
    <w:p w:rsidR="00546FE2" w:rsidRPr="00A565DF" w:rsidRDefault="00546FE2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46FE2" w:rsidRPr="00A565DF" w:rsidRDefault="001D044B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A565DF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274320</wp:posOffset>
            </wp:positionV>
            <wp:extent cx="2571750" cy="2019300"/>
            <wp:effectExtent l="19050" t="0" r="0" b="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 teste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17" r="11471"/>
                    <a:stretch/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65DF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274320</wp:posOffset>
            </wp:positionV>
            <wp:extent cx="2600325" cy="2019300"/>
            <wp:effectExtent l="19050" t="0" r="9525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141"/>
                    <a:stretch/>
                  </pic:blipFill>
                  <pic:spPr bwMode="auto">
                    <a:xfrm>
                      <a:off x="0" y="0"/>
                      <a:ext cx="26003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70613" w:rsidRPr="00A565DF" w:rsidRDefault="00670613" w:rsidP="00670613">
      <w:pPr>
        <w:spacing w:after="0" w:line="36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sectPr w:rsidR="00670613" w:rsidRPr="00A565DF" w:rsidSect="000A47ED">
      <w:headerReference w:type="default" r:id="rId28"/>
      <w:footerReference w:type="default" r:id="rId29"/>
      <w:pgSz w:w="11906" w:h="16838"/>
      <w:pgMar w:top="1701" w:right="1134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D5D" w:rsidRDefault="00B37D5D" w:rsidP="009B5447">
      <w:pPr>
        <w:spacing w:after="0" w:line="240" w:lineRule="auto"/>
      </w:pPr>
      <w:r>
        <w:separator/>
      </w:r>
    </w:p>
  </w:endnote>
  <w:endnote w:type="continuationSeparator" w:id="0">
    <w:p w:rsidR="00B37D5D" w:rsidRDefault="00B37D5D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  <w:docPartObj>
        <w:docPartGallery w:val="Page Numbers (Bottom of Page)"/>
        <w:docPartUnique/>
      </w:docPartObj>
    </w:sdtPr>
    <w:sdtContent>
      <w:p w:rsidR="00B37D5D" w:rsidRDefault="00B37D5D">
        <w:pPr>
          <w:pStyle w:val="Rodap"/>
          <w:jc w:val="right"/>
        </w:pPr>
        <w:fldSimple w:instr="PAGE   \* MERGEFORMAT">
          <w:r w:rsidR="00F713D6">
            <w:rPr>
              <w:noProof/>
            </w:rPr>
            <w:t>19</w:t>
          </w:r>
        </w:fldSimple>
      </w:p>
    </w:sdtContent>
  </w:sdt>
  <w:p w:rsidR="00B37D5D" w:rsidRDefault="00B37D5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D5D" w:rsidRDefault="00B37D5D" w:rsidP="009B5447">
      <w:pPr>
        <w:spacing w:after="0" w:line="240" w:lineRule="auto"/>
      </w:pPr>
      <w:r>
        <w:separator/>
      </w:r>
    </w:p>
  </w:footnote>
  <w:footnote w:type="continuationSeparator" w:id="0">
    <w:p w:rsidR="00B37D5D" w:rsidRDefault="00B37D5D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D5D" w:rsidRDefault="00B37D5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8800" cy="10479600"/>
          <wp:effectExtent l="0" t="0" r="0" b="0"/>
          <wp:wrapNone/>
          <wp:docPr id="23" name="Imagem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H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37D5D" w:rsidRDefault="00B37D5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D5D" w:rsidRDefault="00B37D5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8800" cy="10479600"/>
          <wp:effectExtent l="0" t="0" r="0" b="0"/>
          <wp:wrapNone/>
          <wp:docPr id="24" name="Imagem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H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37D5D" w:rsidRDefault="00B37D5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hybridMultilevel"/>
    <w:tmpl w:val="4198EF8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5FB100B"/>
    <w:multiLevelType w:val="hybridMultilevel"/>
    <w:tmpl w:val="901E5940"/>
    <w:lvl w:ilvl="0" w:tplc="51C0979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7C1C9B"/>
    <w:multiLevelType w:val="multilevel"/>
    <w:tmpl w:val="0D1423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0360832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26B3FD1"/>
    <w:multiLevelType w:val="hybridMultilevel"/>
    <w:tmpl w:val="456EF2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C770F"/>
    <w:multiLevelType w:val="hybridMultilevel"/>
    <w:tmpl w:val="272E7AB2"/>
    <w:lvl w:ilvl="0" w:tplc="04160011">
      <w:start w:val="1"/>
      <w:numFmt w:val="decimal"/>
      <w:lvlText w:val="%1)"/>
      <w:lvlJc w:val="left"/>
      <w:pPr>
        <w:ind w:left="928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FB5184"/>
    <w:multiLevelType w:val="hybridMultilevel"/>
    <w:tmpl w:val="DB303D5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8037C3"/>
    <w:multiLevelType w:val="hybridMultilevel"/>
    <w:tmpl w:val="21284102"/>
    <w:lvl w:ilvl="0" w:tplc="0CC09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47594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4BE518A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76F3CFD"/>
    <w:multiLevelType w:val="hybridMultilevel"/>
    <w:tmpl w:val="FBBAADC8"/>
    <w:lvl w:ilvl="0" w:tplc="54F8052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713CE0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54836B47"/>
    <w:multiLevelType w:val="hybridMultilevel"/>
    <w:tmpl w:val="AB0A342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4A74BC3"/>
    <w:multiLevelType w:val="hybridMultilevel"/>
    <w:tmpl w:val="2294F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D6F2C"/>
    <w:multiLevelType w:val="hybridMultilevel"/>
    <w:tmpl w:val="2A56B35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7920C66"/>
    <w:multiLevelType w:val="hybridMultilevel"/>
    <w:tmpl w:val="C5F855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051656"/>
    <w:multiLevelType w:val="hybridMultilevel"/>
    <w:tmpl w:val="FD36C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B0478"/>
    <w:multiLevelType w:val="hybridMultilevel"/>
    <w:tmpl w:val="6ECA9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6F338C"/>
    <w:multiLevelType w:val="hybridMultilevel"/>
    <w:tmpl w:val="51361BF2"/>
    <w:lvl w:ilvl="0" w:tplc="F61C3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7C67D1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76986507"/>
    <w:multiLevelType w:val="multilevel"/>
    <w:tmpl w:val="673A7F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7EC6414B"/>
    <w:multiLevelType w:val="hybridMultilevel"/>
    <w:tmpl w:val="4724B3B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1"/>
  </w:num>
  <w:num w:numId="5">
    <w:abstractNumId w:val="12"/>
  </w:num>
  <w:num w:numId="6">
    <w:abstractNumId w:val="19"/>
  </w:num>
  <w:num w:numId="7">
    <w:abstractNumId w:val="3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6"/>
  </w:num>
  <w:num w:numId="13">
    <w:abstractNumId w:val="21"/>
  </w:num>
  <w:num w:numId="14">
    <w:abstractNumId w:val="16"/>
  </w:num>
  <w:num w:numId="15">
    <w:abstractNumId w:val="17"/>
  </w:num>
  <w:num w:numId="16">
    <w:abstractNumId w:val="15"/>
  </w:num>
  <w:num w:numId="17">
    <w:abstractNumId w:val="2"/>
  </w:num>
  <w:num w:numId="18">
    <w:abstractNumId w:val="20"/>
  </w:num>
  <w:num w:numId="19">
    <w:abstractNumId w:val="14"/>
  </w:num>
  <w:num w:numId="20">
    <w:abstractNumId w:val="10"/>
  </w:num>
  <w:num w:numId="21">
    <w:abstractNumId w:val="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059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B5447"/>
    <w:rsid w:val="00001479"/>
    <w:rsid w:val="00005B31"/>
    <w:rsid w:val="0001256A"/>
    <w:rsid w:val="00012C1E"/>
    <w:rsid w:val="00014395"/>
    <w:rsid w:val="000305F7"/>
    <w:rsid w:val="000320EC"/>
    <w:rsid w:val="00037CA6"/>
    <w:rsid w:val="00041579"/>
    <w:rsid w:val="000548D3"/>
    <w:rsid w:val="0005522C"/>
    <w:rsid w:val="00055927"/>
    <w:rsid w:val="00063E3E"/>
    <w:rsid w:val="000703AB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3599"/>
    <w:rsid w:val="00104CC4"/>
    <w:rsid w:val="001063FB"/>
    <w:rsid w:val="001130C2"/>
    <w:rsid w:val="001131D6"/>
    <w:rsid w:val="001146E7"/>
    <w:rsid w:val="0011567F"/>
    <w:rsid w:val="00130116"/>
    <w:rsid w:val="00134C3B"/>
    <w:rsid w:val="001363F4"/>
    <w:rsid w:val="00141F99"/>
    <w:rsid w:val="0014330D"/>
    <w:rsid w:val="00147152"/>
    <w:rsid w:val="00147164"/>
    <w:rsid w:val="00151AD5"/>
    <w:rsid w:val="00153B10"/>
    <w:rsid w:val="001564ED"/>
    <w:rsid w:val="00157CAD"/>
    <w:rsid w:val="00160C6E"/>
    <w:rsid w:val="00161CBB"/>
    <w:rsid w:val="0016753B"/>
    <w:rsid w:val="0017315C"/>
    <w:rsid w:val="00175141"/>
    <w:rsid w:val="00176E0A"/>
    <w:rsid w:val="00184FAC"/>
    <w:rsid w:val="001904B2"/>
    <w:rsid w:val="00193347"/>
    <w:rsid w:val="0019433C"/>
    <w:rsid w:val="00196172"/>
    <w:rsid w:val="00197C16"/>
    <w:rsid w:val="001C398B"/>
    <w:rsid w:val="001D014F"/>
    <w:rsid w:val="001D044B"/>
    <w:rsid w:val="001D4788"/>
    <w:rsid w:val="001D4815"/>
    <w:rsid w:val="001E0510"/>
    <w:rsid w:val="00200923"/>
    <w:rsid w:val="00210B32"/>
    <w:rsid w:val="002111D2"/>
    <w:rsid w:val="00237458"/>
    <w:rsid w:val="002432D9"/>
    <w:rsid w:val="0025705F"/>
    <w:rsid w:val="00261CAF"/>
    <w:rsid w:val="0027744B"/>
    <w:rsid w:val="00277558"/>
    <w:rsid w:val="002829DC"/>
    <w:rsid w:val="00285CAE"/>
    <w:rsid w:val="002A2CA9"/>
    <w:rsid w:val="002A4726"/>
    <w:rsid w:val="002C6552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1A15"/>
    <w:rsid w:val="00337DC2"/>
    <w:rsid w:val="003410DD"/>
    <w:rsid w:val="0034152E"/>
    <w:rsid w:val="00344CC1"/>
    <w:rsid w:val="00351A65"/>
    <w:rsid w:val="00352DC4"/>
    <w:rsid w:val="00354CDB"/>
    <w:rsid w:val="00355AA3"/>
    <w:rsid w:val="00364925"/>
    <w:rsid w:val="00371D05"/>
    <w:rsid w:val="00373764"/>
    <w:rsid w:val="00396A0F"/>
    <w:rsid w:val="003A3FA9"/>
    <w:rsid w:val="003B7143"/>
    <w:rsid w:val="003C38A2"/>
    <w:rsid w:val="003D1203"/>
    <w:rsid w:val="003D22D9"/>
    <w:rsid w:val="003D6C5B"/>
    <w:rsid w:val="003E34AD"/>
    <w:rsid w:val="003F18B8"/>
    <w:rsid w:val="00403D5C"/>
    <w:rsid w:val="004072B3"/>
    <w:rsid w:val="0041174D"/>
    <w:rsid w:val="00412042"/>
    <w:rsid w:val="00413FBE"/>
    <w:rsid w:val="00414848"/>
    <w:rsid w:val="00415B8F"/>
    <w:rsid w:val="00424D5B"/>
    <w:rsid w:val="00430FF8"/>
    <w:rsid w:val="00454B84"/>
    <w:rsid w:val="00465278"/>
    <w:rsid w:val="00470F00"/>
    <w:rsid w:val="0048478B"/>
    <w:rsid w:val="00491E6D"/>
    <w:rsid w:val="00492D90"/>
    <w:rsid w:val="004945E2"/>
    <w:rsid w:val="004A039C"/>
    <w:rsid w:val="004A6816"/>
    <w:rsid w:val="004B096C"/>
    <w:rsid w:val="004C05B2"/>
    <w:rsid w:val="004C104C"/>
    <w:rsid w:val="004C5824"/>
    <w:rsid w:val="004C6117"/>
    <w:rsid w:val="004D2CEC"/>
    <w:rsid w:val="004F0E4F"/>
    <w:rsid w:val="00501BDD"/>
    <w:rsid w:val="00502425"/>
    <w:rsid w:val="00502A30"/>
    <w:rsid w:val="00510B83"/>
    <w:rsid w:val="00511610"/>
    <w:rsid w:val="005130EE"/>
    <w:rsid w:val="00514ED0"/>
    <w:rsid w:val="0052374D"/>
    <w:rsid w:val="005346CA"/>
    <w:rsid w:val="00536052"/>
    <w:rsid w:val="0054036C"/>
    <w:rsid w:val="00541111"/>
    <w:rsid w:val="00546FE2"/>
    <w:rsid w:val="00555219"/>
    <w:rsid w:val="00571B6A"/>
    <w:rsid w:val="00582E5E"/>
    <w:rsid w:val="005961BB"/>
    <w:rsid w:val="0059725D"/>
    <w:rsid w:val="005A0371"/>
    <w:rsid w:val="005B2F55"/>
    <w:rsid w:val="005B36EA"/>
    <w:rsid w:val="005B6D25"/>
    <w:rsid w:val="005D141A"/>
    <w:rsid w:val="005D42EC"/>
    <w:rsid w:val="005D5AD6"/>
    <w:rsid w:val="005F0025"/>
    <w:rsid w:val="005F09FE"/>
    <w:rsid w:val="005F295C"/>
    <w:rsid w:val="005F5621"/>
    <w:rsid w:val="006047E6"/>
    <w:rsid w:val="00604F9F"/>
    <w:rsid w:val="00612978"/>
    <w:rsid w:val="006250B8"/>
    <w:rsid w:val="00634BD9"/>
    <w:rsid w:val="006427BC"/>
    <w:rsid w:val="00652B09"/>
    <w:rsid w:val="00661A8C"/>
    <w:rsid w:val="00667255"/>
    <w:rsid w:val="00667458"/>
    <w:rsid w:val="00670613"/>
    <w:rsid w:val="00672C42"/>
    <w:rsid w:val="00672EC9"/>
    <w:rsid w:val="00680652"/>
    <w:rsid w:val="00682A29"/>
    <w:rsid w:val="00682D93"/>
    <w:rsid w:val="00690AA7"/>
    <w:rsid w:val="006A1A76"/>
    <w:rsid w:val="006A3273"/>
    <w:rsid w:val="006A47B7"/>
    <w:rsid w:val="006B5F47"/>
    <w:rsid w:val="006B7D27"/>
    <w:rsid w:val="006C0334"/>
    <w:rsid w:val="006C72CA"/>
    <w:rsid w:val="006E09DD"/>
    <w:rsid w:val="006E1D7C"/>
    <w:rsid w:val="006F0F94"/>
    <w:rsid w:val="006F109A"/>
    <w:rsid w:val="00701738"/>
    <w:rsid w:val="00702F31"/>
    <w:rsid w:val="00703ADE"/>
    <w:rsid w:val="00705D4D"/>
    <w:rsid w:val="00716A20"/>
    <w:rsid w:val="00717FA9"/>
    <w:rsid w:val="007215D2"/>
    <w:rsid w:val="007252AE"/>
    <w:rsid w:val="00727FBB"/>
    <w:rsid w:val="00731A1C"/>
    <w:rsid w:val="0073465C"/>
    <w:rsid w:val="00740FE1"/>
    <w:rsid w:val="007440FE"/>
    <w:rsid w:val="0075359B"/>
    <w:rsid w:val="00754E30"/>
    <w:rsid w:val="00755DFD"/>
    <w:rsid w:val="0075739B"/>
    <w:rsid w:val="00757E11"/>
    <w:rsid w:val="0076071D"/>
    <w:rsid w:val="00762543"/>
    <w:rsid w:val="007720F4"/>
    <w:rsid w:val="00782864"/>
    <w:rsid w:val="00785361"/>
    <w:rsid w:val="00794EDD"/>
    <w:rsid w:val="007975D9"/>
    <w:rsid w:val="00797F44"/>
    <w:rsid w:val="007B695E"/>
    <w:rsid w:val="007C2A0E"/>
    <w:rsid w:val="007C4756"/>
    <w:rsid w:val="007D52E4"/>
    <w:rsid w:val="007E5218"/>
    <w:rsid w:val="007F184A"/>
    <w:rsid w:val="007F1FC6"/>
    <w:rsid w:val="007F3083"/>
    <w:rsid w:val="007F6363"/>
    <w:rsid w:val="00801DEF"/>
    <w:rsid w:val="008063CA"/>
    <w:rsid w:val="008150EB"/>
    <w:rsid w:val="0081720B"/>
    <w:rsid w:val="00826A6E"/>
    <w:rsid w:val="0083591D"/>
    <w:rsid w:val="0084621F"/>
    <w:rsid w:val="00847534"/>
    <w:rsid w:val="00847743"/>
    <w:rsid w:val="00854CF2"/>
    <w:rsid w:val="0085601D"/>
    <w:rsid w:val="00860CAB"/>
    <w:rsid w:val="008642A1"/>
    <w:rsid w:val="00866275"/>
    <w:rsid w:val="00867AB1"/>
    <w:rsid w:val="00870A2D"/>
    <w:rsid w:val="00887923"/>
    <w:rsid w:val="00896CCD"/>
    <w:rsid w:val="00897B7F"/>
    <w:rsid w:val="008A2BAC"/>
    <w:rsid w:val="008A4D59"/>
    <w:rsid w:val="008C25AC"/>
    <w:rsid w:val="008D29B1"/>
    <w:rsid w:val="008E0811"/>
    <w:rsid w:val="008E27B8"/>
    <w:rsid w:val="008F2141"/>
    <w:rsid w:val="008F33A5"/>
    <w:rsid w:val="0090652F"/>
    <w:rsid w:val="00913666"/>
    <w:rsid w:val="00916A50"/>
    <w:rsid w:val="009253ED"/>
    <w:rsid w:val="00932EFD"/>
    <w:rsid w:val="00946E2F"/>
    <w:rsid w:val="009569B7"/>
    <w:rsid w:val="00964BCE"/>
    <w:rsid w:val="00972759"/>
    <w:rsid w:val="009757D9"/>
    <w:rsid w:val="00985619"/>
    <w:rsid w:val="00985830"/>
    <w:rsid w:val="009A1E5D"/>
    <w:rsid w:val="009A6E2B"/>
    <w:rsid w:val="009B0AB6"/>
    <w:rsid w:val="009B0ABA"/>
    <w:rsid w:val="009B25D6"/>
    <w:rsid w:val="009B3F62"/>
    <w:rsid w:val="009B5447"/>
    <w:rsid w:val="009C1582"/>
    <w:rsid w:val="009C1EF5"/>
    <w:rsid w:val="009D5909"/>
    <w:rsid w:val="009E2E13"/>
    <w:rsid w:val="009E7309"/>
    <w:rsid w:val="009F0C0A"/>
    <w:rsid w:val="00A00E18"/>
    <w:rsid w:val="00A02E39"/>
    <w:rsid w:val="00A05009"/>
    <w:rsid w:val="00A27E0F"/>
    <w:rsid w:val="00A40A0F"/>
    <w:rsid w:val="00A500F9"/>
    <w:rsid w:val="00A53655"/>
    <w:rsid w:val="00A565DF"/>
    <w:rsid w:val="00A57EE1"/>
    <w:rsid w:val="00A7132A"/>
    <w:rsid w:val="00A72AE1"/>
    <w:rsid w:val="00A737BF"/>
    <w:rsid w:val="00A759B9"/>
    <w:rsid w:val="00A9411E"/>
    <w:rsid w:val="00A956FB"/>
    <w:rsid w:val="00A96138"/>
    <w:rsid w:val="00A96E4C"/>
    <w:rsid w:val="00A974F2"/>
    <w:rsid w:val="00AA002C"/>
    <w:rsid w:val="00AA136F"/>
    <w:rsid w:val="00AA1E86"/>
    <w:rsid w:val="00AA247D"/>
    <w:rsid w:val="00AA49E1"/>
    <w:rsid w:val="00AB204C"/>
    <w:rsid w:val="00AB58F5"/>
    <w:rsid w:val="00AD0651"/>
    <w:rsid w:val="00AD4182"/>
    <w:rsid w:val="00AE048A"/>
    <w:rsid w:val="00AF47D9"/>
    <w:rsid w:val="00AF48A2"/>
    <w:rsid w:val="00AF7E36"/>
    <w:rsid w:val="00B1044C"/>
    <w:rsid w:val="00B169A5"/>
    <w:rsid w:val="00B2200C"/>
    <w:rsid w:val="00B2353E"/>
    <w:rsid w:val="00B27B65"/>
    <w:rsid w:val="00B37D5D"/>
    <w:rsid w:val="00B4764F"/>
    <w:rsid w:val="00B50E84"/>
    <w:rsid w:val="00B51DAA"/>
    <w:rsid w:val="00B574D2"/>
    <w:rsid w:val="00B6256E"/>
    <w:rsid w:val="00B6475A"/>
    <w:rsid w:val="00B7346D"/>
    <w:rsid w:val="00B82CD1"/>
    <w:rsid w:val="00B869B0"/>
    <w:rsid w:val="00B92F07"/>
    <w:rsid w:val="00BB3289"/>
    <w:rsid w:val="00BB51FB"/>
    <w:rsid w:val="00BC14AC"/>
    <w:rsid w:val="00BC4FD4"/>
    <w:rsid w:val="00BC518F"/>
    <w:rsid w:val="00BC547F"/>
    <w:rsid w:val="00BC6926"/>
    <w:rsid w:val="00BE1E66"/>
    <w:rsid w:val="00BF4C94"/>
    <w:rsid w:val="00C019CF"/>
    <w:rsid w:val="00C10014"/>
    <w:rsid w:val="00C1244C"/>
    <w:rsid w:val="00C151F6"/>
    <w:rsid w:val="00C341FF"/>
    <w:rsid w:val="00C3423D"/>
    <w:rsid w:val="00C3530E"/>
    <w:rsid w:val="00C41164"/>
    <w:rsid w:val="00C42D6F"/>
    <w:rsid w:val="00C54F9A"/>
    <w:rsid w:val="00C55D7C"/>
    <w:rsid w:val="00C61ABA"/>
    <w:rsid w:val="00C64967"/>
    <w:rsid w:val="00C6718E"/>
    <w:rsid w:val="00C67787"/>
    <w:rsid w:val="00C77FBA"/>
    <w:rsid w:val="00C80908"/>
    <w:rsid w:val="00C85F76"/>
    <w:rsid w:val="00C918ED"/>
    <w:rsid w:val="00CB2EF5"/>
    <w:rsid w:val="00CC6068"/>
    <w:rsid w:val="00CC7C7E"/>
    <w:rsid w:val="00CD00A5"/>
    <w:rsid w:val="00CD60D8"/>
    <w:rsid w:val="00CE3A9C"/>
    <w:rsid w:val="00CF10B0"/>
    <w:rsid w:val="00CF3F93"/>
    <w:rsid w:val="00CF4D95"/>
    <w:rsid w:val="00CF7112"/>
    <w:rsid w:val="00D01A7B"/>
    <w:rsid w:val="00D0641E"/>
    <w:rsid w:val="00D10772"/>
    <w:rsid w:val="00D16654"/>
    <w:rsid w:val="00D30F98"/>
    <w:rsid w:val="00D46358"/>
    <w:rsid w:val="00D55C23"/>
    <w:rsid w:val="00D61557"/>
    <w:rsid w:val="00D63D5D"/>
    <w:rsid w:val="00D749E2"/>
    <w:rsid w:val="00D74D22"/>
    <w:rsid w:val="00D7524A"/>
    <w:rsid w:val="00D8141C"/>
    <w:rsid w:val="00D8782F"/>
    <w:rsid w:val="00D91309"/>
    <w:rsid w:val="00D92144"/>
    <w:rsid w:val="00D9220F"/>
    <w:rsid w:val="00D97EF1"/>
    <w:rsid w:val="00DA2525"/>
    <w:rsid w:val="00DA25E6"/>
    <w:rsid w:val="00DB3E31"/>
    <w:rsid w:val="00DB5EAB"/>
    <w:rsid w:val="00DB6C72"/>
    <w:rsid w:val="00DC0D0B"/>
    <w:rsid w:val="00DC194B"/>
    <w:rsid w:val="00DC217F"/>
    <w:rsid w:val="00DC394E"/>
    <w:rsid w:val="00DC4704"/>
    <w:rsid w:val="00DC47FA"/>
    <w:rsid w:val="00DE6A54"/>
    <w:rsid w:val="00DF0E8F"/>
    <w:rsid w:val="00E10E13"/>
    <w:rsid w:val="00E214C7"/>
    <w:rsid w:val="00E24754"/>
    <w:rsid w:val="00E24BC1"/>
    <w:rsid w:val="00E24BD1"/>
    <w:rsid w:val="00E25B1F"/>
    <w:rsid w:val="00E35F48"/>
    <w:rsid w:val="00E3786C"/>
    <w:rsid w:val="00E4122C"/>
    <w:rsid w:val="00E5308F"/>
    <w:rsid w:val="00E5648D"/>
    <w:rsid w:val="00E6076C"/>
    <w:rsid w:val="00E65EC9"/>
    <w:rsid w:val="00E67B69"/>
    <w:rsid w:val="00E74677"/>
    <w:rsid w:val="00E817EB"/>
    <w:rsid w:val="00E86EA4"/>
    <w:rsid w:val="00EA4AD5"/>
    <w:rsid w:val="00EB69CD"/>
    <w:rsid w:val="00EB7825"/>
    <w:rsid w:val="00ED1E6A"/>
    <w:rsid w:val="00EE0611"/>
    <w:rsid w:val="00EE371D"/>
    <w:rsid w:val="00EE3EC5"/>
    <w:rsid w:val="00EE47C1"/>
    <w:rsid w:val="00EF33BE"/>
    <w:rsid w:val="00F0678F"/>
    <w:rsid w:val="00F07300"/>
    <w:rsid w:val="00F10525"/>
    <w:rsid w:val="00F121DE"/>
    <w:rsid w:val="00F12235"/>
    <w:rsid w:val="00F211E8"/>
    <w:rsid w:val="00F24FB8"/>
    <w:rsid w:val="00F26452"/>
    <w:rsid w:val="00F33C46"/>
    <w:rsid w:val="00F41759"/>
    <w:rsid w:val="00F467BB"/>
    <w:rsid w:val="00F477EE"/>
    <w:rsid w:val="00F713D6"/>
    <w:rsid w:val="00F71E8F"/>
    <w:rsid w:val="00F7550D"/>
    <w:rsid w:val="00F75B4C"/>
    <w:rsid w:val="00F76E6C"/>
    <w:rsid w:val="00F8009A"/>
    <w:rsid w:val="00F87A2C"/>
    <w:rsid w:val="00F91CC4"/>
    <w:rsid w:val="00F95E35"/>
    <w:rsid w:val="00F96D7B"/>
    <w:rsid w:val="00FA552F"/>
    <w:rsid w:val="00FB75A2"/>
    <w:rsid w:val="00FD789D"/>
    <w:rsid w:val="00FD7AA6"/>
    <w:rsid w:val="00FF6DF5"/>
    <w:rsid w:val="00FF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1D"/>
  </w:style>
  <w:style w:type="paragraph" w:styleId="Ttulo1">
    <w:name w:val="heading 1"/>
    <w:basedOn w:val="Normal"/>
    <w:next w:val="Normal"/>
    <w:link w:val="Ttulo1Char"/>
    <w:uiPriority w:val="9"/>
    <w:qFormat/>
    <w:rsid w:val="007F63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D29B1"/>
    <w:rPr>
      <w:b/>
      <w:bCs/>
    </w:rPr>
  </w:style>
  <w:style w:type="character" w:styleId="nfase">
    <w:name w:val="Emphasis"/>
    <w:basedOn w:val="Fontepargpadro"/>
    <w:uiPriority w:val="20"/>
    <w:qFormat/>
    <w:rsid w:val="00B50E84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B50E84"/>
    <w:pPr>
      <w:ind w:left="720"/>
      <w:contextualSpacing/>
    </w:pPr>
  </w:style>
  <w:style w:type="table" w:styleId="Tabelacomgrade">
    <w:name w:val="Table Grid"/>
    <w:basedOn w:val="Tabelanormal"/>
    <w:uiPriority w:val="59"/>
    <w:rsid w:val="00782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3">
    <w:name w:val="Light Shading Accent 3"/>
    <w:basedOn w:val="Tabelanormal"/>
    <w:uiPriority w:val="60"/>
    <w:rsid w:val="0078286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7F63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F6363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7F6363"/>
    <w:pPr>
      <w:spacing w:after="100"/>
    </w:pPr>
  </w:style>
  <w:style w:type="character" w:styleId="Hyperlink">
    <w:name w:val="Hyperlink"/>
    <w:basedOn w:val="Fontepargpadro"/>
    <w:uiPriority w:val="99"/>
    <w:unhideWhenUsed/>
    <w:rsid w:val="007F636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5961BB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5961BB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5961BB"/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46358"/>
    <w:pPr>
      <w:spacing w:after="100"/>
      <w:ind w:left="220"/>
    </w:pPr>
    <w:rPr>
      <w:rFonts w:eastAsiaTheme="minorEastAsia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46358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chart" Target="charts/chart11.xm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Planilha_do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Planilha_do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Número de leitos / Unidade de Internação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7"/>
            <c:spPr>
              <a:solidFill>
                <a:srgbClr val="C000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delete val="1"/>
            </c:dLbl>
            <c:showVal val="1"/>
          </c:dLbls>
          <c:cat>
            <c:strRef>
              <c:f>Plan1!$A$2:$A$9</c:f>
              <c:strCache>
                <c:ptCount val="8"/>
                <c:pt idx="0">
                  <c:v>UTI Adulto</c:v>
                </c:pt>
                <c:pt idx="1">
                  <c:v>UTI Pediátrica</c:v>
                </c:pt>
                <c:pt idx="2">
                  <c:v>UTI COVID </c:v>
                </c:pt>
                <c:pt idx="3">
                  <c:v>Emergência </c:v>
                </c:pt>
                <c:pt idx="4">
                  <c:v>U.I. Adulto</c:v>
                </c:pt>
                <c:pt idx="5">
                  <c:v>U.I. Pediátrica </c:v>
                </c:pt>
                <c:pt idx="6">
                  <c:v>Hospital Dia </c:v>
                </c:pt>
                <c:pt idx="7">
                  <c:v>Total 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9</c:v>
                </c:pt>
                <c:pt idx="1">
                  <c:v>4</c:v>
                </c:pt>
                <c:pt idx="2">
                  <c:v>10</c:v>
                </c:pt>
                <c:pt idx="3">
                  <c:v>6</c:v>
                </c:pt>
                <c:pt idx="4">
                  <c:v>71</c:v>
                </c:pt>
                <c:pt idx="5">
                  <c:v>11</c:v>
                </c:pt>
                <c:pt idx="6">
                  <c:v>10</c:v>
                </c:pt>
                <c:pt idx="7">
                  <c:v>121</c:v>
                </c:pt>
              </c:numCache>
            </c:numRef>
          </c:val>
        </c:ser>
        <c:axId val="74533888"/>
        <c:axId val="74573312"/>
      </c:barChart>
      <c:catAx>
        <c:axId val="74533888"/>
        <c:scaling>
          <c:orientation val="minMax"/>
        </c:scaling>
        <c:axPos val="b"/>
        <c:tickLblPos val="nextTo"/>
        <c:crossAx val="74573312"/>
        <c:crosses val="autoZero"/>
        <c:auto val="1"/>
        <c:lblAlgn val="ctr"/>
        <c:lblOffset val="100"/>
      </c:catAx>
      <c:valAx>
        <c:axId val="74573312"/>
        <c:scaling>
          <c:orientation val="minMax"/>
        </c:scaling>
        <c:delete val="1"/>
        <c:axPos val="l"/>
        <c:numFmt formatCode="General" sourceLinked="1"/>
        <c:tickLblPos val="none"/>
        <c:crossAx val="74533888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100" baseline="0"/>
              <a:t>Índice de Intervalo de Substituição de Leitos (em horas) - Dezembro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32.300000000000011</c:v>
                </c:pt>
                <c:pt idx="1">
                  <c:v>43</c:v>
                </c:pt>
              </c:numCache>
            </c:numRef>
          </c:val>
        </c:ser>
        <c:axId val="74833920"/>
        <c:axId val="74835456"/>
      </c:barChart>
      <c:catAx>
        <c:axId val="74833920"/>
        <c:scaling>
          <c:orientation val="minMax"/>
        </c:scaling>
        <c:axPos val="b"/>
        <c:tickLblPos val="nextTo"/>
        <c:crossAx val="74835456"/>
        <c:crosses val="autoZero"/>
        <c:auto val="1"/>
        <c:lblAlgn val="ctr"/>
        <c:lblOffset val="100"/>
      </c:catAx>
      <c:valAx>
        <c:axId val="74835456"/>
        <c:scaling>
          <c:orientation val="minMax"/>
        </c:scaling>
        <c:delete val="1"/>
        <c:axPos val="l"/>
        <c:numFmt formatCode="0" sourceLinked="1"/>
        <c:tickLblPos val="none"/>
        <c:crossAx val="7483392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100" baseline="0"/>
              <a:t>% Rejeições no SIH - </a:t>
            </a:r>
          </a:p>
          <a:p>
            <a:pPr>
              <a:defRPr/>
            </a:pPr>
            <a:r>
              <a:rPr lang="en-US" sz="1100" baseline="0"/>
              <a:t>Novembro 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Realizado</c:v>
                </c:pt>
                <c:pt idx="1">
                  <c:v>Meta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</c:v>
                </c:pt>
                <c:pt idx="1">
                  <c:v>1.0000000000000002E-2</c:v>
                </c:pt>
              </c:numCache>
            </c:numRef>
          </c:val>
        </c:ser>
        <c:axId val="102524416"/>
        <c:axId val="102525952"/>
      </c:barChart>
      <c:catAx>
        <c:axId val="102524416"/>
        <c:scaling>
          <c:orientation val="minMax"/>
        </c:scaling>
        <c:axPos val="b"/>
        <c:tickLblPos val="nextTo"/>
        <c:crossAx val="102525952"/>
        <c:crosses val="autoZero"/>
        <c:auto val="1"/>
        <c:lblAlgn val="ctr"/>
        <c:lblOffset val="100"/>
      </c:catAx>
      <c:valAx>
        <c:axId val="102525952"/>
        <c:scaling>
          <c:orientation val="minMax"/>
        </c:scaling>
        <c:delete val="1"/>
        <c:axPos val="l"/>
        <c:numFmt formatCode="0%" sourceLinked="1"/>
        <c:tickLblPos val="none"/>
        <c:crossAx val="10252441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sz="1100" baseline="0"/>
              <a:t>Farmacovigilância: Uso Racional de Medicamentos - Dezembro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Realizado</c:v>
                </c:pt>
                <c:pt idx="1">
                  <c:v>Meta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0.87000000000000011</c:v>
                </c:pt>
                <c:pt idx="1">
                  <c:v>0.8</c:v>
                </c:pt>
              </c:numCache>
            </c:numRef>
          </c:val>
        </c:ser>
        <c:axId val="102554624"/>
        <c:axId val="102560512"/>
      </c:barChart>
      <c:catAx>
        <c:axId val="102554624"/>
        <c:scaling>
          <c:orientation val="minMax"/>
        </c:scaling>
        <c:axPos val="b"/>
        <c:tickLblPos val="nextTo"/>
        <c:crossAx val="102560512"/>
        <c:crosses val="autoZero"/>
        <c:auto val="1"/>
        <c:lblAlgn val="ctr"/>
        <c:lblOffset val="100"/>
      </c:catAx>
      <c:valAx>
        <c:axId val="102560512"/>
        <c:scaling>
          <c:orientation val="minMax"/>
        </c:scaling>
        <c:delete val="1"/>
        <c:axPos val="l"/>
        <c:numFmt formatCode="0%" sourceLinked="1"/>
        <c:tickLblPos val="none"/>
        <c:crossAx val="10255462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100" baseline="0"/>
              <a:t>Farmacovigilância: Avaliações de Reações Adversas a Medicamentos quanto à gravidade - Dezembro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RAM quanto à gravidade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1</c:v>
                </c:pt>
                <c:pt idx="1">
                  <c:v>0.70000000000000007</c:v>
                </c:pt>
              </c:numCache>
            </c:numRef>
          </c:val>
        </c:ser>
        <c:axId val="102920576"/>
        <c:axId val="102922112"/>
      </c:barChart>
      <c:catAx>
        <c:axId val="102920576"/>
        <c:scaling>
          <c:orientation val="minMax"/>
        </c:scaling>
        <c:axPos val="b"/>
        <c:tickLblPos val="nextTo"/>
        <c:crossAx val="102922112"/>
        <c:crosses val="autoZero"/>
        <c:auto val="1"/>
        <c:lblAlgn val="ctr"/>
        <c:lblOffset val="100"/>
      </c:catAx>
      <c:valAx>
        <c:axId val="102922112"/>
        <c:scaling>
          <c:orientation val="minMax"/>
        </c:scaling>
        <c:delete val="1"/>
        <c:axPos val="l"/>
        <c:numFmt formatCode="0%" sourceLinked="1"/>
        <c:tickLblPos val="none"/>
        <c:crossAx val="10292057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200" b="1" i="0" u="none" strike="noStrike" baseline="0"/>
              <a:t>Procedimentos Cirúrgicos e Não Cirúrgicos </a:t>
            </a:r>
          </a:p>
          <a:p>
            <a:pPr>
              <a:defRPr/>
            </a:pPr>
            <a:r>
              <a:rPr lang="en-US" sz="1200" baseline="0"/>
              <a:t>Dezembro 2020</a:t>
            </a:r>
            <a:endParaRPr lang="en-US" sz="1200"/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6"/>
            <c:spPr>
              <a:solidFill>
                <a:schemeClr val="accent2"/>
              </a:solidFill>
            </c:spPr>
          </c:dPt>
          <c:dLbls>
            <c:showVal val="1"/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32</c:v>
                </c:pt>
                <c:pt idx="1">
                  <c:v>24</c:v>
                </c:pt>
                <c:pt idx="2">
                  <c:v>19</c:v>
                </c:pt>
                <c:pt idx="3">
                  <c:v>5</c:v>
                </c:pt>
                <c:pt idx="4">
                  <c:v>6</c:v>
                </c:pt>
                <c:pt idx="5">
                  <c:v>10</c:v>
                </c:pt>
                <c:pt idx="6">
                  <c:v>96</c:v>
                </c:pt>
              </c:numCache>
            </c:numRef>
          </c:val>
        </c:ser>
        <c:axId val="86873600"/>
        <c:axId val="86875136"/>
      </c:barChart>
      <c:catAx>
        <c:axId val="86873600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86875136"/>
        <c:crosses val="autoZero"/>
        <c:auto val="1"/>
        <c:lblAlgn val="ctr"/>
        <c:lblOffset val="100"/>
      </c:catAx>
      <c:valAx>
        <c:axId val="86875136"/>
        <c:scaling>
          <c:orientation val="minMax"/>
        </c:scaling>
        <c:delete val="1"/>
        <c:axPos val="b"/>
        <c:numFmt formatCode="General" sourceLinked="1"/>
        <c:tickLblPos val="none"/>
        <c:crossAx val="8687360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400" baseline="0"/>
              <a:t>SADT</a:t>
            </a:r>
          </a:p>
          <a:p>
            <a:pPr>
              <a:defRPr/>
            </a:pPr>
            <a:r>
              <a:rPr lang="en-US" sz="1400" baseline="0"/>
              <a:t>Dezembro 2020</a:t>
            </a:r>
            <a:endParaRPr lang="en-US" sz="1400"/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8"/>
            <c:spPr>
              <a:solidFill>
                <a:schemeClr val="accent2"/>
              </a:solidFill>
            </c:spPr>
          </c:dPt>
          <c:dLbls>
            <c:showVal val="1"/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 formatCode="#,##0">
                  <c:v>25818</c:v>
                </c:pt>
                <c:pt idx="1">
                  <c:v>1606</c:v>
                </c:pt>
                <c:pt idx="2">
                  <c:v>40</c:v>
                </c:pt>
                <c:pt idx="3">
                  <c:v>42</c:v>
                </c:pt>
                <c:pt idx="4">
                  <c:v>90</c:v>
                </c:pt>
                <c:pt idx="5">
                  <c:v>17</c:v>
                </c:pt>
                <c:pt idx="6">
                  <c:v>15</c:v>
                </c:pt>
                <c:pt idx="7">
                  <c:v>6</c:v>
                </c:pt>
                <c:pt idx="8" formatCode="#,##0">
                  <c:v>27634</c:v>
                </c:pt>
              </c:numCache>
            </c:numRef>
          </c:val>
        </c:ser>
        <c:axId val="103807616"/>
        <c:axId val="105026688"/>
      </c:barChart>
      <c:catAx>
        <c:axId val="103807616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105026688"/>
        <c:crosses val="autoZero"/>
        <c:auto val="1"/>
        <c:lblAlgn val="ctr"/>
        <c:lblOffset val="100"/>
      </c:catAx>
      <c:valAx>
        <c:axId val="105026688"/>
        <c:scaling>
          <c:orientation val="minMax"/>
        </c:scaling>
        <c:delete val="1"/>
        <c:axPos val="b"/>
        <c:numFmt formatCode="#,##0" sourceLinked="1"/>
        <c:tickLblPos val="none"/>
        <c:crossAx val="10380761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200" baseline="0"/>
              <a:t>Saídas Hospitalares </a:t>
            </a:r>
          </a:p>
          <a:p>
            <a:pPr>
              <a:defRPr/>
            </a:pPr>
            <a:r>
              <a:rPr lang="en-US" sz="1200" baseline="0"/>
              <a:t>Dezembro 2020</a:t>
            </a:r>
            <a:endParaRPr lang="en-US" sz="1200"/>
          </a:p>
        </c:rich>
      </c:tx>
      <c:layout/>
    </c:title>
    <c:plotArea>
      <c:layout>
        <c:manualLayout>
          <c:layoutTarget val="inner"/>
          <c:xMode val="edge"/>
          <c:yMode val="edge"/>
          <c:x val="3.259259259259259E-2"/>
          <c:y val="0.36463114440791961"/>
          <c:w val="0.93185185185185182"/>
          <c:h val="0.37528782203195482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dLbl>
              <c:idx val="1"/>
              <c:delete val="1"/>
            </c:dLbl>
            <c:dLblPos val="outEnd"/>
            <c:showVal val="1"/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155</c:v>
                </c:pt>
                <c:pt idx="1">
                  <c:v>57</c:v>
                </c:pt>
                <c:pt idx="2">
                  <c:v>212</c:v>
                </c:pt>
                <c:pt idx="3">
                  <c:v>230</c:v>
                </c:pt>
              </c:numCache>
            </c:numRef>
          </c:val>
        </c:ser>
        <c:axId val="62521728"/>
        <c:axId val="62523264"/>
      </c:barChart>
      <c:catAx>
        <c:axId val="62521728"/>
        <c:scaling>
          <c:orientation val="minMax"/>
        </c:scaling>
        <c:axPos val="b"/>
        <c:tickLblPos val="nextTo"/>
        <c:crossAx val="62523264"/>
        <c:crosses val="autoZero"/>
        <c:auto val="1"/>
        <c:lblAlgn val="ctr"/>
        <c:lblOffset val="100"/>
      </c:catAx>
      <c:valAx>
        <c:axId val="62523264"/>
        <c:scaling>
          <c:orientation val="minMax"/>
        </c:scaling>
        <c:delete val="1"/>
        <c:axPos val="l"/>
        <c:numFmt formatCode="General" sourceLinked="1"/>
        <c:tickLblPos val="none"/>
        <c:crossAx val="6252172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200" baseline="0"/>
              <a:t>Hospital Dia</a:t>
            </a:r>
          </a:p>
          <a:p>
            <a:pPr>
              <a:defRPr/>
            </a:pPr>
            <a:r>
              <a:rPr lang="en-US" sz="1200" baseline="0"/>
              <a:t>Dezembro 2020</a:t>
            </a:r>
            <a:endParaRPr lang="en-US" sz="1200"/>
          </a:p>
        </c:rich>
      </c:tx>
      <c:layout>
        <c:manualLayout>
          <c:xMode val="edge"/>
          <c:yMode val="edge"/>
          <c:x val="0.37655617551117376"/>
          <c:y val="4.8109965635738827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200</a:t>
                    </a:r>
                  </a:p>
                </c:rich>
              </c:tx>
              <c:showVal val="1"/>
            </c:dLbl>
            <c:showVal val="1"/>
          </c:dLbls>
          <c:cat>
            <c:strRef>
              <c:f>Plan1!$A$2:$A$3</c:f>
              <c:strCache>
                <c:ptCount val="2"/>
                <c:pt idx="0">
                  <c:v>Realizado</c:v>
                </c:pt>
                <c:pt idx="1">
                  <c:v>Meta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135</c:v>
                </c:pt>
                <c:pt idx="1">
                  <c:v>200</c:v>
                </c:pt>
              </c:numCache>
            </c:numRef>
          </c:val>
        </c:ser>
        <c:axId val="62633856"/>
        <c:axId val="62635392"/>
      </c:barChart>
      <c:catAx>
        <c:axId val="62633856"/>
        <c:scaling>
          <c:orientation val="minMax"/>
        </c:scaling>
        <c:axPos val="b"/>
        <c:tickLblPos val="nextTo"/>
        <c:crossAx val="62635392"/>
        <c:crosses val="autoZero"/>
        <c:auto val="1"/>
        <c:lblAlgn val="ctr"/>
        <c:lblOffset val="100"/>
      </c:catAx>
      <c:valAx>
        <c:axId val="62635392"/>
        <c:scaling>
          <c:orientation val="minMax"/>
        </c:scaling>
        <c:delete val="1"/>
        <c:axPos val="l"/>
        <c:numFmt formatCode="General" sourceLinked="1"/>
        <c:tickLblPos val="none"/>
        <c:crossAx val="6263385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 sz="1200" baseline="0"/>
              <a:t>SADT Externo</a:t>
            </a:r>
          </a:p>
          <a:p>
            <a:pPr>
              <a:defRPr/>
            </a:pPr>
            <a:r>
              <a:rPr lang="en-US" sz="1200" baseline="0"/>
              <a:t>Dezembro 2020</a:t>
            </a:r>
            <a:endParaRPr lang="en-US" sz="1200"/>
          </a:p>
        </c:rich>
      </c:tx>
      <c:layout>
        <c:manualLayout>
          <c:xMode val="edge"/>
          <c:yMode val="edge"/>
          <c:x val="0.37655617551117382"/>
          <c:y val="4.8109965635738827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140</a:t>
                    </a:r>
                  </a:p>
                </c:rich>
              </c:tx>
              <c:showVal val="1"/>
            </c:dLbl>
            <c:showVal val="1"/>
          </c:dLbls>
          <c:cat>
            <c:strRef>
              <c:f>Plan1!$A$2:$A$5</c:f>
              <c:strCache>
                <c:ptCount val="4"/>
                <c:pt idx="0">
                  <c:v>Realizado (Radiografia)</c:v>
                </c:pt>
                <c:pt idx="1">
                  <c:v>Meta (Radiografia)</c:v>
                </c:pt>
                <c:pt idx="2">
                  <c:v>Realizado (Tomografia)</c:v>
                </c:pt>
                <c:pt idx="3">
                  <c:v>Meta (Tomografia)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297</c:v>
                </c:pt>
                <c:pt idx="1">
                  <c:v>140</c:v>
                </c:pt>
                <c:pt idx="2">
                  <c:v>269</c:v>
                </c:pt>
                <c:pt idx="3">
                  <c:v>300</c:v>
                </c:pt>
              </c:numCache>
            </c:numRef>
          </c:val>
        </c:ser>
        <c:axId val="62775680"/>
        <c:axId val="62777216"/>
      </c:barChart>
      <c:catAx>
        <c:axId val="62775680"/>
        <c:scaling>
          <c:orientation val="minMax"/>
        </c:scaling>
        <c:axPos val="b"/>
        <c:tickLblPos val="nextTo"/>
        <c:crossAx val="62777216"/>
        <c:crosses val="autoZero"/>
        <c:auto val="1"/>
        <c:lblAlgn val="ctr"/>
        <c:lblOffset val="100"/>
      </c:catAx>
      <c:valAx>
        <c:axId val="62777216"/>
        <c:scaling>
          <c:orientation val="minMax"/>
        </c:scaling>
        <c:delete val="1"/>
        <c:axPos val="l"/>
        <c:numFmt formatCode="General" sourceLinked="1"/>
        <c:tickLblPos val="none"/>
        <c:crossAx val="6277568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100"/>
            </a:pPr>
            <a:r>
              <a:rPr lang="en-US" sz="1100" baseline="0"/>
              <a:t>Atendimento Ambulatorial </a:t>
            </a:r>
          </a:p>
          <a:p>
            <a:pPr>
              <a:defRPr sz="1100"/>
            </a:pPr>
            <a:r>
              <a:rPr lang="en-US" sz="1100" baseline="0"/>
              <a:t>Dezembro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 formatCode="#,##0">
                  <c:v>2547</c:v>
                </c:pt>
                <c:pt idx="1">
                  <c:v>325</c:v>
                </c:pt>
                <c:pt idx="2" formatCode="#,##0">
                  <c:v>2872</c:v>
                </c:pt>
                <c:pt idx="3" formatCode="#,##0">
                  <c:v>1050</c:v>
                </c:pt>
              </c:numCache>
            </c:numRef>
          </c:val>
        </c:ser>
        <c:axId val="62820352"/>
        <c:axId val="62821888"/>
      </c:barChart>
      <c:catAx>
        <c:axId val="62820352"/>
        <c:scaling>
          <c:orientation val="minMax"/>
        </c:scaling>
        <c:axPos val="b"/>
        <c:tickLblPos val="nextTo"/>
        <c:crossAx val="62821888"/>
        <c:crosses val="autoZero"/>
        <c:auto val="1"/>
        <c:lblAlgn val="ctr"/>
        <c:lblOffset val="100"/>
      </c:catAx>
      <c:valAx>
        <c:axId val="62821888"/>
        <c:scaling>
          <c:orientation val="minMax"/>
        </c:scaling>
        <c:delete val="1"/>
        <c:axPos val="l"/>
        <c:numFmt formatCode="#,##0" sourceLinked="1"/>
        <c:tickLblPos val="none"/>
        <c:crossAx val="6282035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sz="1100" baseline="0"/>
              <a:t>Taxa de Ocupação Hospitalar</a:t>
            </a:r>
          </a:p>
          <a:p>
            <a:pPr>
              <a:defRPr/>
            </a:pPr>
            <a:r>
              <a:rPr lang="en-US" sz="1100" baseline="0"/>
              <a:t>Dezembro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0.88</c:v>
                </c:pt>
                <c:pt idx="1">
                  <c:v>0.85000000000000009</c:v>
                </c:pt>
              </c:numCache>
            </c:numRef>
          </c:val>
        </c:ser>
        <c:axId val="63394176"/>
        <c:axId val="63395712"/>
      </c:barChart>
      <c:catAx>
        <c:axId val="63394176"/>
        <c:scaling>
          <c:orientation val="minMax"/>
        </c:scaling>
        <c:axPos val="b"/>
        <c:tickLblPos val="nextTo"/>
        <c:crossAx val="63395712"/>
        <c:crosses val="autoZero"/>
        <c:auto val="1"/>
        <c:lblAlgn val="ctr"/>
        <c:lblOffset val="100"/>
      </c:catAx>
      <c:valAx>
        <c:axId val="63395712"/>
        <c:scaling>
          <c:orientation val="minMax"/>
        </c:scaling>
        <c:delete val="1"/>
        <c:axPos val="l"/>
        <c:numFmt formatCode="0%" sourceLinked="1"/>
        <c:tickLblPos val="none"/>
        <c:crossAx val="6339417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100"/>
            </a:pPr>
            <a:r>
              <a:rPr lang="en-US" sz="1100" baseline="0"/>
              <a:t>Média de Permanência Hospitalar (em dias) -</a:t>
            </a:r>
          </a:p>
          <a:p>
            <a:pPr>
              <a:defRPr sz="1100"/>
            </a:pPr>
            <a:r>
              <a:rPr lang="en-US" sz="1100" baseline="0"/>
              <a:t> Dezembro 2020</a:t>
            </a:r>
            <a:endParaRPr lang="en-US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howVal val="1"/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10</c:v>
                </c:pt>
                <c:pt idx="1">
                  <c:v>10</c:v>
                </c:pt>
              </c:numCache>
            </c:numRef>
          </c:val>
        </c:ser>
        <c:axId val="74721536"/>
        <c:axId val="74723328"/>
      </c:barChart>
      <c:catAx>
        <c:axId val="74721536"/>
        <c:scaling>
          <c:orientation val="minMax"/>
        </c:scaling>
        <c:axPos val="b"/>
        <c:tickLblPos val="nextTo"/>
        <c:crossAx val="74723328"/>
        <c:crosses val="autoZero"/>
        <c:auto val="1"/>
        <c:lblAlgn val="ctr"/>
        <c:lblOffset val="100"/>
      </c:catAx>
      <c:valAx>
        <c:axId val="74723328"/>
        <c:scaling>
          <c:orientation val="minMax"/>
        </c:scaling>
        <c:delete val="1"/>
        <c:axPos val="l"/>
        <c:numFmt formatCode="0" sourceLinked="1"/>
        <c:tickLblPos val="none"/>
        <c:crossAx val="7472153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0.18518</cdr:x>
      <cdr:y>0.53904</cdr:y>
    </cdr:from>
    <cdr:to>
      <cdr:x>0.22976</cdr:x>
      <cdr:y>0.65472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028321" y="883113"/>
          <a:ext cx="247556" cy="189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t-BR" sz="1100"/>
            <a:t>4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0.34444</cdr:x>
      <cdr:y>0.48691</cdr:y>
    </cdr:from>
    <cdr:to>
      <cdr:x>0.40889</cdr:x>
      <cdr:y>0.65969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476375" y="885825"/>
          <a:ext cx="2762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t-BR" sz="1000"/>
            <a:t>57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D5999-4906-4621-AE6A-11CE130C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19</Pages>
  <Words>2766</Words>
  <Characters>14941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5</cp:revision>
  <cp:lastPrinted>2019-10-15T20:20:00Z</cp:lastPrinted>
  <dcterms:created xsi:type="dcterms:W3CDTF">2021-01-08T22:13:00Z</dcterms:created>
  <dcterms:modified xsi:type="dcterms:W3CDTF">2021-01-11T14:30:00Z</dcterms:modified>
</cp:coreProperties>
</file>