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r w:rsidR="003C38A2">
        <w:rPr>
          <w:rFonts w:ascii="Arial" w:hAnsi="Arial" w:cs="Arial"/>
          <w:b/>
          <w:color w:val="000000" w:themeColor="text1"/>
          <w:sz w:val="32"/>
          <w:szCs w:val="32"/>
        </w:rPr>
        <w:t xml:space="preserve"> DR. ANUAR AUAD - HDT</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54036C"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46.7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CF10B0" w:rsidRPr="00652B09" w:rsidRDefault="00CF10B0" w:rsidP="00652B09">
                  <w:pPr>
                    <w:jc w:val="center"/>
                    <w:rPr>
                      <w:rFonts w:ascii="Arial" w:hAnsi="Arial" w:cs="Arial"/>
                      <w:b/>
                      <w:sz w:val="36"/>
                      <w:szCs w:val="36"/>
                    </w:rPr>
                  </w:pPr>
                  <w:r>
                    <w:rPr>
                      <w:rFonts w:ascii="Arial" w:hAnsi="Arial" w:cs="Arial"/>
                      <w:b/>
                      <w:sz w:val="36"/>
                      <w:szCs w:val="36"/>
                    </w:rPr>
                    <w:t>12</w:t>
                  </w:r>
                  <w:r w:rsidRPr="00652B09">
                    <w:rPr>
                      <w:rFonts w:ascii="Arial" w:hAnsi="Arial" w:cs="Arial"/>
                      <w:b/>
                      <w:sz w:val="36"/>
                      <w:szCs w:val="36"/>
                    </w:rPr>
                    <w:t>º Termo Aditivo ao Contrato de Gestão nº091/2012</w:t>
                  </w:r>
                </w:p>
                <w:p w:rsidR="00CF10B0" w:rsidRDefault="00CF10B0">
                  <w:pPr>
                    <w:rPr>
                      <w:rFonts w:ascii="Arial" w:hAnsi="Arial" w:cs="Arial"/>
                      <w:sz w:val="36"/>
                      <w:szCs w:val="36"/>
                    </w:rPr>
                  </w:pPr>
                </w:p>
                <w:p w:rsidR="00CF10B0" w:rsidRDefault="00CF10B0">
                  <w:pPr>
                    <w:rPr>
                      <w:rFonts w:ascii="Arial" w:hAnsi="Arial" w:cs="Arial"/>
                      <w:sz w:val="36"/>
                      <w:szCs w:val="36"/>
                    </w:rPr>
                  </w:pPr>
                </w:p>
                <w:p w:rsidR="00CF10B0" w:rsidRPr="002F5143" w:rsidRDefault="00CF10B0"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CF10B0" w:rsidRPr="00652B09" w:rsidRDefault="00CF10B0">
                  <w:pPr>
                    <w:rPr>
                      <w:rFonts w:ascii="Arial" w:hAnsi="Arial" w:cs="Arial"/>
                      <w:sz w:val="36"/>
                      <w:szCs w:val="36"/>
                    </w:rPr>
                  </w:pPr>
                </w:p>
                <w:p w:rsidR="00CF10B0" w:rsidRDefault="00CF10B0">
                  <w:pPr>
                    <w:rPr>
                      <w:rFonts w:ascii="Arial" w:hAnsi="Arial" w:cs="Arial"/>
                      <w:sz w:val="36"/>
                      <w:szCs w:val="36"/>
                    </w:rPr>
                  </w:pPr>
                </w:p>
                <w:p w:rsidR="00CF10B0" w:rsidRPr="00652B09" w:rsidRDefault="00CF10B0" w:rsidP="00652B09">
                  <w:pPr>
                    <w:jc w:val="center"/>
                    <w:rPr>
                      <w:rFonts w:ascii="Arial" w:hAnsi="Arial" w:cs="Arial"/>
                      <w:sz w:val="36"/>
                      <w:szCs w:val="36"/>
                    </w:rPr>
                  </w:pPr>
                  <w:r>
                    <w:rPr>
                      <w:rFonts w:ascii="Arial" w:hAnsi="Arial" w:cs="Arial"/>
                      <w:sz w:val="36"/>
                      <w:szCs w:val="36"/>
                    </w:rPr>
                    <w:t>Referência: Agosto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502A30" w:rsidRPr="006B5F47" w:rsidRDefault="00502A30"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hAnsi="Arial" w:cs="Arial"/>
          <w:color w:val="000000" w:themeColor="text1"/>
          <w:sz w:val="28"/>
          <w:szCs w:val="28"/>
        </w:rPr>
        <w:t xml:space="preserve">Bruno Almeida </w:t>
      </w:r>
    </w:p>
    <w:p w:rsidR="00D61557" w:rsidRPr="006B5F47" w:rsidRDefault="00D61557" w:rsidP="00B869B0">
      <w:pPr>
        <w:spacing w:after="0" w:line="360" w:lineRule="auto"/>
        <w:rPr>
          <w:rFonts w:ascii="Arial" w:hAnsi="Arial" w:cs="Arial"/>
          <w:color w:val="000000" w:themeColor="text1"/>
          <w:sz w:val="28"/>
          <w:szCs w:val="28"/>
        </w:rPr>
      </w:pP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eastAsia="Calibri" w:hAnsi="Arial" w:cs="Arial"/>
          <w:bCs/>
          <w:sz w:val="28"/>
          <w:szCs w:val="28"/>
        </w:rPr>
        <w:t>Vivian Siqueira Furtado Passos</w:t>
      </w:r>
      <w:r w:rsidRPr="006B5F47">
        <w:rPr>
          <w:rFonts w:ascii="Arial" w:hAnsi="Arial" w:cs="Arial"/>
          <w:color w:val="000000" w:themeColor="text1"/>
          <w:sz w:val="28"/>
          <w:szCs w:val="28"/>
        </w:rPr>
        <w:t xml:space="preserve"> </w:t>
      </w:r>
      <w:r w:rsidR="00D61557" w:rsidRPr="006B5F47">
        <w:rPr>
          <w:rFonts w:ascii="Arial" w:hAnsi="Arial" w:cs="Arial"/>
          <w:color w:val="000000" w:themeColor="text1"/>
          <w:sz w:val="28"/>
          <w:szCs w:val="28"/>
        </w:rPr>
        <w:t xml:space="preserve">– CRM-GO: </w:t>
      </w:r>
      <w:r w:rsidRPr="006B5F47">
        <w:rPr>
          <w:rFonts w:ascii="Arial" w:hAnsi="Arial" w:cs="Arial"/>
          <w:color w:val="000000" w:themeColor="text1"/>
          <w:sz w:val="28"/>
          <w:szCs w:val="28"/>
        </w:rPr>
        <w:t>12196</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Default="008D29B1" w:rsidP="00B869B0">
      <w:pPr>
        <w:spacing w:after="0" w:line="360" w:lineRule="auto"/>
        <w:rPr>
          <w:rFonts w:ascii="Arial" w:hAnsi="Arial" w:cs="Arial"/>
        </w:rPr>
      </w:pPr>
    </w:p>
    <w:p w:rsidR="00502A30" w:rsidRDefault="00502A30" w:rsidP="00B869B0">
      <w:pPr>
        <w:spacing w:after="0" w:line="360" w:lineRule="auto"/>
        <w:rPr>
          <w:rFonts w:ascii="Arial" w:hAnsi="Arial" w:cs="Arial"/>
        </w:rPr>
      </w:pPr>
    </w:p>
    <w:p w:rsidR="00502A30" w:rsidRPr="006B5F47" w:rsidRDefault="00502A30"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7F1FC6" w:rsidRDefault="0054036C">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50962442" w:history="1">
            <w:r w:rsidR="007F1FC6" w:rsidRPr="007B040E">
              <w:rPr>
                <w:rStyle w:val="Hyperlink"/>
                <w:rFonts w:ascii="Arial" w:hAnsi="Arial" w:cs="Arial"/>
                <w:noProof/>
              </w:rPr>
              <w:t>NOSSA HISTÓRIA</w:t>
            </w:r>
            <w:r w:rsidR="007F1FC6">
              <w:rPr>
                <w:noProof/>
                <w:webHidden/>
              </w:rPr>
              <w:tab/>
            </w:r>
            <w:r w:rsidR="007F1FC6">
              <w:rPr>
                <w:noProof/>
                <w:webHidden/>
              </w:rPr>
              <w:fldChar w:fldCharType="begin"/>
            </w:r>
            <w:r w:rsidR="007F1FC6">
              <w:rPr>
                <w:noProof/>
                <w:webHidden/>
              </w:rPr>
              <w:instrText xml:space="preserve"> PAGEREF _Toc50962442 \h </w:instrText>
            </w:r>
            <w:r w:rsidR="007F1FC6">
              <w:rPr>
                <w:noProof/>
                <w:webHidden/>
              </w:rPr>
            </w:r>
            <w:r w:rsidR="007F1FC6">
              <w:rPr>
                <w:noProof/>
                <w:webHidden/>
              </w:rPr>
              <w:fldChar w:fldCharType="separate"/>
            </w:r>
            <w:r w:rsidR="007F1FC6">
              <w:rPr>
                <w:noProof/>
                <w:webHidden/>
              </w:rPr>
              <w:t>4</w:t>
            </w:r>
            <w:r w:rsidR="007F1FC6">
              <w:rPr>
                <w:noProof/>
                <w:webHidden/>
              </w:rPr>
              <w:fldChar w:fldCharType="end"/>
            </w:r>
          </w:hyperlink>
        </w:p>
        <w:p w:rsidR="007F1FC6" w:rsidRDefault="007F1FC6">
          <w:pPr>
            <w:pStyle w:val="Sumrio1"/>
            <w:tabs>
              <w:tab w:val="right" w:leader="dot" w:pos="9061"/>
            </w:tabs>
            <w:rPr>
              <w:rFonts w:eastAsiaTheme="minorEastAsia"/>
              <w:noProof/>
              <w:lang w:eastAsia="pt-BR"/>
            </w:rPr>
          </w:pPr>
          <w:hyperlink w:anchor="_Toc50962443" w:history="1">
            <w:r w:rsidRPr="007B040E">
              <w:rPr>
                <w:rStyle w:val="Hyperlink"/>
                <w:rFonts w:ascii="Arial" w:hAnsi="Arial" w:cs="Arial"/>
                <w:noProof/>
              </w:rPr>
              <w:t>MISSÃO, VISÃO E VALORES</w:t>
            </w:r>
            <w:r>
              <w:rPr>
                <w:noProof/>
                <w:webHidden/>
              </w:rPr>
              <w:tab/>
            </w:r>
            <w:r>
              <w:rPr>
                <w:noProof/>
                <w:webHidden/>
              </w:rPr>
              <w:fldChar w:fldCharType="begin"/>
            </w:r>
            <w:r>
              <w:rPr>
                <w:noProof/>
                <w:webHidden/>
              </w:rPr>
              <w:instrText xml:space="preserve"> PAGEREF _Toc50962443 \h </w:instrText>
            </w:r>
            <w:r>
              <w:rPr>
                <w:noProof/>
                <w:webHidden/>
              </w:rPr>
            </w:r>
            <w:r>
              <w:rPr>
                <w:noProof/>
                <w:webHidden/>
              </w:rPr>
              <w:fldChar w:fldCharType="separate"/>
            </w:r>
            <w:r>
              <w:rPr>
                <w:noProof/>
                <w:webHidden/>
              </w:rPr>
              <w:t>5</w:t>
            </w:r>
            <w:r>
              <w:rPr>
                <w:noProof/>
                <w:webHidden/>
              </w:rPr>
              <w:fldChar w:fldCharType="end"/>
            </w:r>
          </w:hyperlink>
        </w:p>
        <w:p w:rsidR="007F1FC6" w:rsidRDefault="007F1FC6">
          <w:pPr>
            <w:pStyle w:val="Sumrio1"/>
            <w:tabs>
              <w:tab w:val="right" w:leader="dot" w:pos="9061"/>
            </w:tabs>
            <w:rPr>
              <w:rFonts w:eastAsiaTheme="minorEastAsia"/>
              <w:noProof/>
              <w:lang w:eastAsia="pt-BR"/>
            </w:rPr>
          </w:pPr>
          <w:hyperlink w:anchor="_Toc50962444" w:history="1">
            <w:r w:rsidRPr="007B040E">
              <w:rPr>
                <w:rStyle w:val="Hyperlink"/>
                <w:rFonts w:ascii="Arial" w:hAnsi="Arial" w:cs="Arial"/>
                <w:noProof/>
              </w:rPr>
              <w:t>SERVIÇOS</w:t>
            </w:r>
            <w:r>
              <w:rPr>
                <w:noProof/>
                <w:webHidden/>
              </w:rPr>
              <w:tab/>
            </w:r>
            <w:r>
              <w:rPr>
                <w:noProof/>
                <w:webHidden/>
              </w:rPr>
              <w:fldChar w:fldCharType="begin"/>
            </w:r>
            <w:r>
              <w:rPr>
                <w:noProof/>
                <w:webHidden/>
              </w:rPr>
              <w:instrText xml:space="preserve"> PAGEREF _Toc50962444 \h </w:instrText>
            </w:r>
            <w:r>
              <w:rPr>
                <w:noProof/>
                <w:webHidden/>
              </w:rPr>
            </w:r>
            <w:r>
              <w:rPr>
                <w:noProof/>
                <w:webHidden/>
              </w:rPr>
              <w:fldChar w:fldCharType="separate"/>
            </w:r>
            <w:r>
              <w:rPr>
                <w:noProof/>
                <w:webHidden/>
              </w:rPr>
              <w:t>6</w:t>
            </w:r>
            <w:r>
              <w:rPr>
                <w:noProof/>
                <w:webHidden/>
              </w:rPr>
              <w:fldChar w:fldCharType="end"/>
            </w:r>
          </w:hyperlink>
        </w:p>
        <w:p w:rsidR="007F1FC6" w:rsidRDefault="007F1FC6">
          <w:pPr>
            <w:pStyle w:val="Sumrio1"/>
            <w:tabs>
              <w:tab w:val="right" w:leader="dot" w:pos="9061"/>
            </w:tabs>
            <w:rPr>
              <w:rFonts w:eastAsiaTheme="minorEastAsia"/>
              <w:noProof/>
              <w:lang w:eastAsia="pt-BR"/>
            </w:rPr>
          </w:pPr>
          <w:hyperlink w:anchor="_Toc50962445" w:history="1">
            <w:r w:rsidRPr="007B040E">
              <w:rPr>
                <w:rStyle w:val="Hyperlink"/>
                <w:rFonts w:ascii="Arial" w:hAnsi="Arial" w:cs="Arial"/>
                <w:b/>
                <w:noProof/>
              </w:rPr>
              <w:t>ATIVIDADES REALIZADAS</w:t>
            </w:r>
            <w:r>
              <w:rPr>
                <w:noProof/>
                <w:webHidden/>
              </w:rPr>
              <w:tab/>
            </w:r>
            <w:r>
              <w:rPr>
                <w:noProof/>
                <w:webHidden/>
              </w:rPr>
              <w:fldChar w:fldCharType="begin"/>
            </w:r>
            <w:r>
              <w:rPr>
                <w:noProof/>
                <w:webHidden/>
              </w:rPr>
              <w:instrText xml:space="preserve"> PAGEREF _Toc50962445 \h </w:instrText>
            </w:r>
            <w:r>
              <w:rPr>
                <w:noProof/>
                <w:webHidden/>
              </w:rPr>
            </w:r>
            <w:r>
              <w:rPr>
                <w:noProof/>
                <w:webHidden/>
              </w:rPr>
              <w:fldChar w:fldCharType="separate"/>
            </w:r>
            <w:r>
              <w:rPr>
                <w:noProof/>
                <w:webHidden/>
              </w:rPr>
              <w:t>8</w:t>
            </w:r>
            <w:r>
              <w:rPr>
                <w:noProof/>
                <w:webHidden/>
              </w:rPr>
              <w:fldChar w:fldCharType="end"/>
            </w:r>
          </w:hyperlink>
        </w:p>
        <w:p w:rsidR="007F1FC6" w:rsidRDefault="007F1FC6">
          <w:pPr>
            <w:pStyle w:val="Sumrio1"/>
            <w:tabs>
              <w:tab w:val="right" w:leader="dot" w:pos="9061"/>
            </w:tabs>
            <w:rPr>
              <w:rFonts w:eastAsiaTheme="minorEastAsia"/>
              <w:noProof/>
              <w:lang w:eastAsia="pt-BR"/>
            </w:rPr>
          </w:pPr>
          <w:hyperlink w:anchor="_Toc50962446" w:history="1">
            <w:r w:rsidRPr="007B040E">
              <w:rPr>
                <w:rStyle w:val="Hyperlink"/>
                <w:rFonts w:ascii="Arial" w:hAnsi="Arial" w:cs="Arial"/>
                <w:noProof/>
              </w:rPr>
              <w:t>METAS DE PRODUÇÃO E RESULTADOS ALCANÇADOS</w:t>
            </w:r>
            <w:r>
              <w:rPr>
                <w:noProof/>
                <w:webHidden/>
              </w:rPr>
              <w:tab/>
            </w:r>
            <w:r>
              <w:rPr>
                <w:noProof/>
                <w:webHidden/>
              </w:rPr>
              <w:fldChar w:fldCharType="begin"/>
            </w:r>
            <w:r>
              <w:rPr>
                <w:noProof/>
                <w:webHidden/>
              </w:rPr>
              <w:instrText xml:space="preserve"> PAGEREF _Toc50962446 \h </w:instrText>
            </w:r>
            <w:r>
              <w:rPr>
                <w:noProof/>
                <w:webHidden/>
              </w:rPr>
            </w:r>
            <w:r>
              <w:rPr>
                <w:noProof/>
                <w:webHidden/>
              </w:rPr>
              <w:fldChar w:fldCharType="separate"/>
            </w:r>
            <w:r>
              <w:rPr>
                <w:noProof/>
                <w:webHidden/>
              </w:rPr>
              <w:t>14</w:t>
            </w:r>
            <w:r>
              <w:rPr>
                <w:noProof/>
                <w:webHidden/>
              </w:rPr>
              <w:fldChar w:fldCharType="end"/>
            </w:r>
          </w:hyperlink>
        </w:p>
        <w:p w:rsidR="007F1FC6" w:rsidRDefault="007F1FC6">
          <w:pPr>
            <w:pStyle w:val="Sumrio1"/>
            <w:tabs>
              <w:tab w:val="right" w:leader="dot" w:pos="9061"/>
            </w:tabs>
            <w:rPr>
              <w:rFonts w:eastAsiaTheme="minorEastAsia"/>
              <w:noProof/>
              <w:lang w:eastAsia="pt-BR"/>
            </w:rPr>
          </w:pPr>
          <w:hyperlink w:anchor="_Toc50962447" w:history="1">
            <w:r w:rsidRPr="007B040E">
              <w:rPr>
                <w:rStyle w:val="Hyperlink"/>
                <w:rFonts w:ascii="Arial" w:hAnsi="Arial" w:cs="Arial"/>
                <w:noProof/>
              </w:rPr>
              <w:t>AÇÕES E ATIVIDADES</w:t>
            </w:r>
            <w:r>
              <w:rPr>
                <w:noProof/>
                <w:webHidden/>
              </w:rPr>
              <w:tab/>
            </w:r>
            <w:r>
              <w:rPr>
                <w:noProof/>
                <w:webHidden/>
              </w:rPr>
              <w:fldChar w:fldCharType="begin"/>
            </w:r>
            <w:r>
              <w:rPr>
                <w:noProof/>
                <w:webHidden/>
              </w:rPr>
              <w:instrText xml:space="preserve"> PAGEREF _Toc50962447 \h </w:instrText>
            </w:r>
            <w:r>
              <w:rPr>
                <w:noProof/>
                <w:webHidden/>
              </w:rPr>
            </w:r>
            <w:r>
              <w:rPr>
                <w:noProof/>
                <w:webHidden/>
              </w:rPr>
              <w:fldChar w:fldCharType="separate"/>
            </w:r>
            <w:r>
              <w:rPr>
                <w:noProof/>
                <w:webHidden/>
              </w:rPr>
              <w:t>20</w:t>
            </w:r>
            <w:r>
              <w:rPr>
                <w:noProof/>
                <w:webHidden/>
              </w:rPr>
              <w:fldChar w:fldCharType="end"/>
            </w:r>
          </w:hyperlink>
        </w:p>
        <w:p w:rsidR="007F6363" w:rsidRPr="006B5F47" w:rsidRDefault="0054036C">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50962442"/>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C38A2" w:rsidP="00B869B0">
      <w:pPr>
        <w:spacing w:after="0" w:line="360" w:lineRule="auto"/>
        <w:ind w:firstLine="708"/>
        <w:jc w:val="both"/>
        <w:rPr>
          <w:rFonts w:ascii="Arial" w:hAnsi="Arial" w:cs="Arial"/>
          <w:color w:val="000000" w:themeColor="text1"/>
          <w:sz w:val="24"/>
          <w:szCs w:val="24"/>
          <w:shd w:val="clear" w:color="auto" w:fill="FFFFFF"/>
        </w:rPr>
      </w:pPr>
      <w:r>
        <w:rPr>
          <w:rFonts w:ascii="Arial" w:hAnsi="Arial" w:cs="Arial"/>
          <w:sz w:val="24"/>
          <w:szCs w:val="24"/>
        </w:rPr>
        <w:t>O HDT é uma unidade Terciá</w:t>
      </w:r>
      <w:r w:rsidR="003A3FA9" w:rsidRPr="003A3FA9">
        <w:rPr>
          <w:rFonts w:ascii="Arial" w:hAnsi="Arial" w:cs="Arial"/>
          <w:sz w:val="24"/>
          <w:szCs w:val="24"/>
        </w:rPr>
        <w:t xml:space="preserve">ria de assistência à saúde de alta complexidade, sendo o perfil especializado em assistência aos portadores de doenças </w:t>
      </w:r>
      <w:proofErr w:type="spellStart"/>
      <w:r w:rsidR="003A3FA9" w:rsidRPr="003A3FA9">
        <w:rPr>
          <w:rFonts w:ascii="Arial" w:hAnsi="Arial" w:cs="Arial"/>
          <w:sz w:val="24"/>
          <w:szCs w:val="24"/>
        </w:rPr>
        <w:t>in</w:t>
      </w:r>
      <w:r>
        <w:rPr>
          <w:rFonts w:ascii="Arial" w:hAnsi="Arial" w:cs="Arial"/>
          <w:sz w:val="24"/>
          <w:szCs w:val="24"/>
        </w:rPr>
        <w:t>fe</w:t>
      </w:r>
      <w:r w:rsidR="003A3FA9" w:rsidRPr="003A3FA9">
        <w:rPr>
          <w:rFonts w:ascii="Arial" w:hAnsi="Arial" w:cs="Arial"/>
          <w:sz w:val="24"/>
          <w:szCs w:val="24"/>
        </w:rPr>
        <w:t>cto-contagiosas</w:t>
      </w:r>
      <w:proofErr w:type="spellEnd"/>
      <w:r w:rsidR="003A3FA9" w:rsidRPr="003A3FA9">
        <w:rPr>
          <w:rFonts w:ascii="Arial" w:hAnsi="Arial" w:cs="Arial"/>
          <w:sz w:val="24"/>
          <w:szCs w:val="24"/>
        </w:rPr>
        <w:t xml:space="preserve">, dermatológicas, meningites, Profilaxia Pós-Exposição – </w:t>
      </w:r>
      <w:proofErr w:type="spellStart"/>
      <w:proofErr w:type="gramStart"/>
      <w:r w:rsidR="003A3FA9" w:rsidRPr="003A3FA9">
        <w:rPr>
          <w:rFonts w:ascii="Arial" w:hAnsi="Arial" w:cs="Arial"/>
          <w:sz w:val="24"/>
          <w:szCs w:val="24"/>
        </w:rPr>
        <w:t>PrEP</w:t>
      </w:r>
      <w:proofErr w:type="spellEnd"/>
      <w:proofErr w:type="gramEnd"/>
      <w:r w:rsidR="003A3FA9" w:rsidRPr="003A3FA9">
        <w:rPr>
          <w:rFonts w:ascii="Arial" w:hAnsi="Arial" w:cs="Arial"/>
          <w:sz w:val="24"/>
          <w:szCs w:val="24"/>
        </w:rPr>
        <w:t>, e vítimas de acidentes por animais peç</w:t>
      </w:r>
      <w:r>
        <w:rPr>
          <w:rFonts w:ascii="Arial" w:hAnsi="Arial" w:cs="Arial"/>
          <w:sz w:val="24"/>
          <w:szCs w:val="24"/>
        </w:rPr>
        <w:t>onhentos, que são encaminhados à</w:t>
      </w:r>
      <w:r w:rsidR="003A3FA9" w:rsidRPr="003A3FA9">
        <w:rPr>
          <w:rFonts w:ascii="Arial" w:hAnsi="Arial" w:cs="Arial"/>
          <w:sz w:val="24"/>
          <w:szCs w:val="24"/>
        </w:rPr>
        <w:t xml:space="preserve"> unidade via Central de Regulação do município de Goiânia. Atende ainda por demanda espontânea </w:t>
      </w:r>
      <w:proofErr w:type="gramStart"/>
      <w:r w:rsidR="003A3FA9" w:rsidRPr="003A3FA9">
        <w:rPr>
          <w:rFonts w:ascii="Arial" w:hAnsi="Arial" w:cs="Arial"/>
          <w:sz w:val="24"/>
          <w:szCs w:val="24"/>
        </w:rPr>
        <w:t>pacientes</w:t>
      </w:r>
      <w:proofErr w:type="gramEnd"/>
      <w:r w:rsidR="003A3FA9" w:rsidRPr="003A3FA9">
        <w:rPr>
          <w:rFonts w:ascii="Arial" w:hAnsi="Arial" w:cs="Arial"/>
          <w:sz w:val="24"/>
          <w:szCs w:val="24"/>
        </w:rPr>
        <w:t xml:space="preserve"> com HIV/AIDS (que estão em tratamento na unidade), vítimas de acidentes por animais peçonhentos e PrEP</w:t>
      </w:r>
      <w:r>
        <w:rPr>
          <w:rFonts w:ascii="Arial" w:hAnsi="Arial" w:cs="Arial"/>
          <w:sz w:val="24"/>
          <w:szCs w:val="24"/>
        </w:rPr>
        <w:t xml:space="preserve">. </w:t>
      </w:r>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Desde julho de 2012, o hospital é gerido pela organização social Instituto Sócrates Guanaes (ISG). Desde então recebeu prêmio no concurso de Humanização - em 2014, obtido em Concurso Cultural do Ministério da Saúde e o Selo de Qualidade da Organização Nacional de Acreditação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p>
    <w:p w:rsidR="008D29B1" w:rsidRPr="006B5F47" w:rsidRDefault="008D29B1" w:rsidP="007F6363">
      <w:pPr>
        <w:pStyle w:val="Ttulo1"/>
        <w:rPr>
          <w:rFonts w:ascii="Arial" w:hAnsi="Arial" w:cs="Arial"/>
          <w:b w:val="0"/>
          <w:color w:val="000000" w:themeColor="text1"/>
          <w:sz w:val="24"/>
          <w:szCs w:val="24"/>
          <w:shd w:val="clear" w:color="auto" w:fill="FFFFFF"/>
        </w:rPr>
      </w:pPr>
      <w:bookmarkStart w:id="1" w:name="_Toc50962443"/>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50962444"/>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HDT oferece atendimento especializado em Infectologia e Dermatologia. As demais especialidades oferecem suporte para os pacientes definidos com o perfil da unidade, e são as seguintes: Clínica Geral, Neurologia, Pneumologia, Psiquiatria, Medicina Intensi</w:t>
      </w:r>
      <w:r w:rsidR="00F12235">
        <w:rPr>
          <w:rFonts w:ascii="Arial" w:hAnsi="Arial" w:cs="Arial"/>
          <w:color w:val="000000" w:themeColor="text1"/>
          <w:sz w:val="24"/>
          <w:szCs w:val="24"/>
          <w:shd w:val="clear" w:color="auto" w:fill="FFFFFF"/>
        </w:rPr>
        <w:t xml:space="preserve">va, </w:t>
      </w:r>
      <w:r w:rsidRPr="006B5F47">
        <w:rPr>
          <w:rFonts w:ascii="Arial" w:hAnsi="Arial" w:cs="Arial"/>
          <w:color w:val="000000" w:themeColor="text1"/>
          <w:sz w:val="24"/>
          <w:szCs w:val="24"/>
          <w:shd w:val="clear" w:color="auto" w:fill="FFFFFF"/>
        </w:rPr>
        <w:t xml:space="preserve">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Ginecologia, Nefro</w:t>
      </w:r>
      <w:r w:rsidR="00F12235">
        <w:rPr>
          <w:rFonts w:ascii="Arial" w:hAnsi="Arial" w:cs="Arial"/>
          <w:color w:val="000000" w:themeColor="text1"/>
          <w:sz w:val="24"/>
          <w:szCs w:val="24"/>
          <w:shd w:val="clear" w:color="auto" w:fill="FFFFFF"/>
        </w:rPr>
        <w:t xml:space="preserve">logia, Hematologia, </w:t>
      </w:r>
      <w:proofErr w:type="spellStart"/>
      <w:r w:rsidR="00F12235">
        <w:rPr>
          <w:rFonts w:ascii="Arial" w:hAnsi="Arial" w:cs="Arial"/>
          <w:color w:val="000000" w:themeColor="text1"/>
          <w:sz w:val="24"/>
          <w:szCs w:val="24"/>
          <w:shd w:val="clear" w:color="auto" w:fill="FFFFFF"/>
        </w:rPr>
        <w:t>Nutrologia</w:t>
      </w:r>
      <w:proofErr w:type="spellEnd"/>
      <w:r w:rsidR="00F12235">
        <w:rPr>
          <w:rFonts w:ascii="Arial" w:hAnsi="Arial" w:cs="Arial"/>
          <w:color w:val="000000" w:themeColor="text1"/>
          <w:sz w:val="24"/>
          <w:szCs w:val="24"/>
          <w:shd w:val="clear" w:color="auto" w:fill="FFFFFF"/>
        </w:rPr>
        <w:t xml:space="preserve"> e </w:t>
      </w:r>
      <w:r w:rsidRPr="006B5F47">
        <w:rPr>
          <w:rFonts w:ascii="Arial" w:hAnsi="Arial" w:cs="Arial"/>
          <w:color w:val="000000" w:themeColor="text1"/>
          <w:sz w:val="24"/>
          <w:szCs w:val="24"/>
          <w:shd w:val="clear" w:color="auto" w:fill="FFFFFF"/>
        </w:rPr>
        <w:t>Endocr</w:t>
      </w:r>
      <w:r w:rsidR="00F12235">
        <w:rPr>
          <w:rFonts w:ascii="Arial" w:hAnsi="Arial" w:cs="Arial"/>
          <w:color w:val="000000" w:themeColor="text1"/>
          <w:sz w:val="24"/>
          <w:szCs w:val="24"/>
          <w:shd w:val="clear" w:color="auto" w:fill="FFFFFF"/>
        </w:rPr>
        <w:t>inologia</w:t>
      </w:r>
      <w:r w:rsidRPr="006B5F47">
        <w:rPr>
          <w:rFonts w:ascii="Arial" w:hAnsi="Arial" w:cs="Arial"/>
          <w:color w:val="000000" w:themeColor="text1"/>
          <w:sz w:val="24"/>
          <w:szCs w:val="24"/>
          <w:shd w:val="clear" w:color="auto" w:fill="FFFFFF"/>
        </w:rPr>
        <w:t>.</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gramStart"/>
      <w:r w:rsidRPr="006B5F47">
        <w:rPr>
          <w:rFonts w:ascii="Arial" w:hAnsi="Arial" w:cs="Arial"/>
          <w:color w:val="000000" w:themeColor="text1"/>
          <w:sz w:val="24"/>
          <w:szCs w:val="24"/>
          <w:shd w:val="clear" w:color="auto" w:fill="FFFFFF"/>
        </w:rPr>
        <w:t>Aids</w:t>
      </w:r>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w:t>
      </w:r>
      <w:r w:rsidR="003C38A2">
        <w:rPr>
          <w:rFonts w:ascii="Arial" w:hAnsi="Arial" w:cs="Arial"/>
          <w:color w:val="000000" w:themeColor="text1"/>
          <w:sz w:val="24"/>
          <w:szCs w:val="24"/>
          <w:shd w:val="clear" w:color="auto" w:fill="FFFFFF"/>
        </w:rPr>
        <w:t xml:space="preserve"> com</w:t>
      </w:r>
      <w:r w:rsidRPr="006B5F47">
        <w:rPr>
          <w:rFonts w:ascii="Arial" w:hAnsi="Arial" w:cs="Arial"/>
          <w:color w:val="000000" w:themeColor="text1"/>
          <w:sz w:val="24"/>
          <w:szCs w:val="24"/>
          <w:shd w:val="clear" w:color="auto" w:fill="FFFFFF"/>
        </w:rPr>
        <w:t xml:space="preserve">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F12235"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xml:space="preserve">Infectologia com duração de </w:t>
      </w:r>
      <w:proofErr w:type="gramStart"/>
      <w:r w:rsidRPr="006B5F47">
        <w:rPr>
          <w:rStyle w:val="nfase"/>
          <w:rFonts w:ascii="Arial" w:hAnsi="Arial" w:cs="Arial"/>
          <w:color w:val="000000" w:themeColor="text1"/>
          <w:sz w:val="24"/>
          <w:szCs w:val="24"/>
          <w:shd w:val="clear" w:color="auto" w:fill="FFFFFF"/>
        </w:rPr>
        <w:t>3</w:t>
      </w:r>
      <w:proofErr w:type="gramEnd"/>
      <w:r w:rsidRPr="006B5F47">
        <w:rPr>
          <w:rStyle w:val="nfase"/>
          <w:rFonts w:ascii="Arial" w:hAnsi="Arial" w:cs="Arial"/>
          <w:color w:val="000000" w:themeColor="text1"/>
          <w:sz w:val="24"/>
          <w:szCs w:val="24"/>
          <w:shd w:val="clear" w:color="auto" w:fill="FFFFFF"/>
        </w:rPr>
        <w:t xml:space="preserve"> anos, Infectologia pediátrica com duração de 2 anos e Dermatologia com duração de 3 anos;</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lastRenderedPageBreak/>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50962445"/>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7F1FC6" w:rsidP="006B5F47">
      <w:pPr>
        <w:spacing w:after="0" w:line="360" w:lineRule="auto"/>
        <w:ind w:firstLine="708"/>
        <w:jc w:val="both"/>
        <w:rPr>
          <w:rFonts w:ascii="Arial" w:hAnsi="Arial" w:cs="Arial"/>
          <w:sz w:val="24"/>
          <w:szCs w:val="24"/>
        </w:rPr>
      </w:pPr>
      <w:r>
        <w:rPr>
          <w:rFonts w:ascii="Arial" w:hAnsi="Arial" w:cs="Arial"/>
          <w:sz w:val="24"/>
          <w:szCs w:val="24"/>
        </w:rPr>
        <w:t>O HDT é uma unidade referência em</w:t>
      </w:r>
      <w:r w:rsidR="00985830" w:rsidRPr="006B5F47">
        <w:rPr>
          <w:rFonts w:ascii="Arial" w:hAnsi="Arial" w:cs="Arial"/>
          <w:sz w:val="24"/>
          <w:szCs w:val="24"/>
        </w:rPr>
        <w:t xml:space="preserve"> assistência à saúde de alta complexidade, especializada em assistência aos portadores de doenças infecciosas, dermatológicas e vítimas de acidentes por animais peçonhentos, que são encaminhados </w:t>
      </w:r>
      <w:r w:rsidRPr="006B5F47">
        <w:rPr>
          <w:rFonts w:ascii="Arial" w:hAnsi="Arial" w:cs="Arial"/>
          <w:sz w:val="24"/>
          <w:szCs w:val="24"/>
        </w:rPr>
        <w:t>à</w:t>
      </w:r>
      <w:r w:rsidR="00985830" w:rsidRPr="006B5F47">
        <w:rPr>
          <w:rFonts w:ascii="Arial" w:hAnsi="Arial" w:cs="Arial"/>
          <w:sz w:val="24"/>
          <w:szCs w:val="24"/>
        </w:rPr>
        <w:t xml:space="preserve">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Pr="007F1FC6" w:rsidRDefault="00364925" w:rsidP="006B5F47">
      <w:pPr>
        <w:spacing w:after="0" w:line="360" w:lineRule="auto"/>
        <w:jc w:val="both"/>
        <w:rPr>
          <w:rFonts w:ascii="Arial" w:hAnsi="Arial" w:cs="Arial"/>
          <w:b/>
          <w:color w:val="000000" w:themeColor="text1"/>
          <w:sz w:val="24"/>
          <w:szCs w:val="24"/>
        </w:rPr>
      </w:pPr>
      <w:r w:rsidRPr="007F1FC6">
        <w:rPr>
          <w:rFonts w:ascii="Arial" w:hAnsi="Arial" w:cs="Arial"/>
          <w:b/>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3C38A2">
        <w:rPr>
          <w:rFonts w:ascii="Arial" w:hAnsi="Arial" w:cs="Arial"/>
          <w:color w:val="000000" w:themeColor="text1"/>
          <w:sz w:val="24"/>
          <w:szCs w:val="24"/>
        </w:rPr>
        <w:t>envolve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w:t>
      </w:r>
      <w:r w:rsidR="003C38A2">
        <w:rPr>
          <w:rFonts w:ascii="Arial" w:hAnsi="Arial" w:cs="Arial"/>
          <w:color w:val="000000" w:themeColor="text1"/>
          <w:sz w:val="24"/>
          <w:szCs w:val="24"/>
        </w:rPr>
        <w:t xml:space="preserve">ainda </w:t>
      </w:r>
      <w:r w:rsidRPr="006B5F47">
        <w:rPr>
          <w:rFonts w:ascii="Arial" w:hAnsi="Arial" w:cs="Arial"/>
          <w:color w:val="000000" w:themeColor="text1"/>
          <w:sz w:val="24"/>
          <w:szCs w:val="24"/>
        </w:rPr>
        <w:t xml:space="preserve">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003C38A2">
        <w:rPr>
          <w:rFonts w:ascii="Arial" w:hAnsi="Arial" w:cs="Arial"/>
          <w:color w:val="000000" w:themeColor="text1"/>
          <w:sz w:val="24"/>
          <w:szCs w:val="24"/>
        </w:rPr>
        <w:t xml:space="preserve"> e</w:t>
      </w:r>
      <w:r w:rsidRPr="006B5F47">
        <w:rPr>
          <w:rFonts w:ascii="Arial" w:hAnsi="Arial" w:cs="Arial"/>
          <w:color w:val="000000" w:themeColor="text1"/>
          <w:sz w:val="24"/>
          <w:szCs w:val="24"/>
        </w:rPr>
        <w:t xml:space="preserve">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 xml:space="preserve">E é por este motivo que o número de leitos ocupados nunca será o mesmo número de pacientes internados, pois por vezes temos enfermarias (com </w:t>
      </w:r>
      <w:proofErr w:type="gramStart"/>
      <w:r w:rsidRPr="006B5F47">
        <w:rPr>
          <w:rFonts w:ascii="Arial" w:hAnsi="Arial" w:cs="Arial"/>
          <w:color w:val="000000" w:themeColor="text1"/>
          <w:sz w:val="24"/>
          <w:szCs w:val="24"/>
        </w:rPr>
        <w:t>2</w:t>
      </w:r>
      <w:proofErr w:type="gramEnd"/>
      <w:r w:rsidRPr="006B5F47">
        <w:rPr>
          <w:rFonts w:ascii="Arial" w:hAnsi="Arial" w:cs="Arial"/>
          <w:color w:val="000000" w:themeColor="text1"/>
          <w:sz w:val="24"/>
          <w:szCs w:val="24"/>
        </w:rPr>
        <w:t xml:space="preserve"> leitos), sendo ocupadas apenas por um único paciente em precaução especial.</w:t>
      </w:r>
    </w:p>
    <w:p w:rsidR="00DA2525" w:rsidRDefault="00DA2525" w:rsidP="006B5F47">
      <w:pPr>
        <w:spacing w:after="0" w:line="360" w:lineRule="auto"/>
        <w:ind w:firstLine="708"/>
        <w:jc w:val="both"/>
        <w:rPr>
          <w:rFonts w:ascii="Arial" w:hAnsi="Arial" w:cs="Arial"/>
          <w:color w:val="000000" w:themeColor="text1"/>
          <w:sz w:val="24"/>
          <w:szCs w:val="24"/>
        </w:rPr>
      </w:pPr>
    </w:p>
    <w:p w:rsidR="0085601D" w:rsidRPr="006B5F47" w:rsidRDefault="00DA2525" w:rsidP="00DA2525">
      <w:pPr>
        <w:spacing w:after="0" w:line="360" w:lineRule="auto"/>
        <w:ind w:left="-567"/>
        <w:jc w:val="both"/>
        <w:rPr>
          <w:rFonts w:ascii="Arial" w:hAnsi="Arial" w:cs="Arial"/>
          <w:color w:val="000000" w:themeColor="text1"/>
          <w:sz w:val="24"/>
          <w:szCs w:val="24"/>
        </w:rPr>
      </w:pPr>
      <w:r w:rsidRPr="00DA2525">
        <w:rPr>
          <w:rFonts w:ascii="Arial" w:hAnsi="Arial" w:cs="Arial"/>
          <w:noProof/>
          <w:color w:val="002060"/>
          <w:sz w:val="24"/>
          <w:szCs w:val="24"/>
          <w:bdr w:val="single" w:sz="4" w:space="0" w:color="auto" w:shadow="1"/>
          <w:shd w:val="clear" w:color="auto" w:fill="000000" w:themeFill="text1"/>
          <w:lang w:eastAsia="pt-BR"/>
        </w:rPr>
        <w:drawing>
          <wp:inline distT="0" distB="0" distL="0" distR="0">
            <wp:extent cx="6410325" cy="2552700"/>
            <wp:effectExtent l="1905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2525" w:rsidRPr="00EE0611" w:rsidRDefault="00DA2525" w:rsidP="00DA2525">
      <w:pPr>
        <w:jc w:val="right"/>
        <w:rPr>
          <w:i/>
          <w:sz w:val="18"/>
          <w:szCs w:val="18"/>
        </w:rPr>
      </w:pPr>
      <w:r w:rsidRPr="00EE0611">
        <w:rPr>
          <w:i/>
          <w:sz w:val="18"/>
          <w:szCs w:val="18"/>
        </w:rPr>
        <w:t>Fonte: Relatório Institucional - RIH</w:t>
      </w: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00F12235">
        <w:rPr>
          <w:rFonts w:ascii="Arial" w:hAnsi="Arial" w:cs="Arial"/>
          <w:color w:val="000000" w:themeColor="text1"/>
          <w:sz w:val="24"/>
          <w:szCs w:val="24"/>
        </w:rPr>
        <w:t xml:space="preserve"> composta por</w:t>
      </w:r>
      <w:r w:rsidRPr="006B5F47">
        <w:rPr>
          <w:rFonts w:ascii="Arial" w:hAnsi="Arial" w:cs="Arial"/>
          <w:color w:val="000000" w:themeColor="text1"/>
          <w:sz w:val="24"/>
          <w:szCs w:val="24"/>
        </w:rPr>
        <w:t xml:space="preserve"> </w:t>
      </w:r>
      <w:proofErr w:type="gramStart"/>
      <w:r w:rsidRPr="006B5F47">
        <w:rPr>
          <w:rFonts w:ascii="Arial" w:hAnsi="Arial" w:cs="Arial"/>
          <w:color w:val="000000" w:themeColor="text1"/>
          <w:sz w:val="24"/>
          <w:szCs w:val="24"/>
        </w:rPr>
        <w:t>9</w:t>
      </w:r>
      <w:proofErr w:type="gramEnd"/>
      <w:r w:rsidRPr="006B5F47">
        <w:rPr>
          <w:rFonts w:ascii="Arial" w:hAnsi="Arial" w:cs="Arial"/>
          <w:color w:val="000000" w:themeColor="text1"/>
          <w:sz w:val="24"/>
          <w:szCs w:val="24"/>
        </w:rPr>
        <w:t xml:space="preserve"> leitos de internação, sendo 4 leitos privativos para pacientes em </w:t>
      </w:r>
      <w:r w:rsidR="00DA2525">
        <w:rPr>
          <w:rFonts w:ascii="Arial" w:hAnsi="Arial" w:cs="Arial"/>
          <w:color w:val="000000" w:themeColor="text1"/>
          <w:sz w:val="24"/>
          <w:szCs w:val="24"/>
        </w:rPr>
        <w:t>precaução especial – isolamento;</w:t>
      </w:r>
    </w:p>
    <w:p w:rsidR="000D6F93" w:rsidRDefault="00A737BF" w:rsidP="00DA2525">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w:t>
      </w:r>
      <w:r w:rsidR="00F12235">
        <w:rPr>
          <w:rFonts w:ascii="Arial" w:hAnsi="Arial" w:cs="Arial"/>
          <w:color w:val="000000" w:themeColor="text1"/>
          <w:sz w:val="24"/>
          <w:szCs w:val="24"/>
        </w:rPr>
        <w:t xml:space="preserve">composta por </w:t>
      </w:r>
      <w:proofErr w:type="gramStart"/>
      <w:r w:rsidRPr="006B5F47">
        <w:rPr>
          <w:rFonts w:ascii="Arial" w:hAnsi="Arial" w:cs="Arial"/>
          <w:color w:val="000000" w:themeColor="text1"/>
          <w:sz w:val="24"/>
          <w:szCs w:val="24"/>
        </w:rPr>
        <w:t>4</w:t>
      </w:r>
      <w:proofErr w:type="gramEnd"/>
      <w:r w:rsidRPr="006B5F47">
        <w:rPr>
          <w:rFonts w:ascii="Arial" w:hAnsi="Arial" w:cs="Arial"/>
          <w:color w:val="000000" w:themeColor="text1"/>
          <w:sz w:val="24"/>
          <w:szCs w:val="24"/>
        </w:rPr>
        <w:t xml:space="preserve"> l</w:t>
      </w:r>
      <w:r w:rsidR="00DA2525">
        <w:rPr>
          <w:rFonts w:ascii="Arial" w:hAnsi="Arial" w:cs="Arial"/>
          <w:color w:val="000000" w:themeColor="text1"/>
          <w:sz w:val="24"/>
          <w:szCs w:val="24"/>
        </w:rPr>
        <w:t>eitos, sendo 2 para isolamento;</w:t>
      </w:r>
    </w:p>
    <w:p w:rsidR="00F12235" w:rsidRPr="006B5F47" w:rsidRDefault="00F12235" w:rsidP="00DA2525">
      <w:pPr>
        <w:pStyle w:val="PargrafodaLista"/>
        <w:numPr>
          <w:ilvl w:val="0"/>
          <w:numId w:val="12"/>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UTI COVID: composta de 10 leitos, sendo </w:t>
      </w:r>
      <w:proofErr w:type="gramStart"/>
      <w:r>
        <w:rPr>
          <w:rFonts w:ascii="Arial" w:hAnsi="Arial" w:cs="Arial"/>
          <w:color w:val="000000" w:themeColor="text1"/>
          <w:sz w:val="24"/>
          <w:szCs w:val="24"/>
        </w:rPr>
        <w:t>6</w:t>
      </w:r>
      <w:proofErr w:type="gramEnd"/>
      <w:r>
        <w:rPr>
          <w:rFonts w:ascii="Arial" w:hAnsi="Arial" w:cs="Arial"/>
          <w:color w:val="000000" w:themeColor="text1"/>
          <w:sz w:val="24"/>
          <w:szCs w:val="24"/>
        </w:rPr>
        <w:t xml:space="preserve"> leitos privativos para pacientes em precaução especial –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w:t>
      </w:r>
      <w:proofErr w:type="gramStart"/>
      <w:r w:rsidR="00A737BF" w:rsidRPr="006B5F47">
        <w:rPr>
          <w:rFonts w:ascii="Arial" w:hAnsi="Arial" w:cs="Arial"/>
          <w:color w:val="000000" w:themeColor="text1"/>
          <w:sz w:val="24"/>
          <w:szCs w:val="24"/>
        </w:rPr>
        <w:t>1</w:t>
      </w:r>
      <w:proofErr w:type="gramEnd"/>
      <w:r w:rsidR="00A737BF" w:rsidRPr="006B5F47">
        <w:rPr>
          <w:rFonts w:ascii="Arial" w:hAnsi="Arial" w:cs="Arial"/>
          <w:color w:val="000000" w:themeColor="text1"/>
          <w:sz w:val="24"/>
          <w:szCs w:val="24"/>
        </w:rPr>
        <w:t xml:space="preserve">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w:t>
      </w:r>
      <w:r w:rsidR="00DA2525">
        <w:rPr>
          <w:rFonts w:ascii="Arial" w:hAnsi="Arial" w:cs="Arial"/>
          <w:color w:val="000000" w:themeColor="text1"/>
          <w:sz w:val="24"/>
          <w:szCs w:val="24"/>
        </w:rPr>
        <w:t>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w:t>
      </w:r>
      <w:r w:rsidR="00DA2525">
        <w:rPr>
          <w:rFonts w:ascii="Arial" w:hAnsi="Arial" w:cs="Arial"/>
          <w:color w:val="000000" w:themeColor="text1"/>
          <w:sz w:val="24"/>
          <w:szCs w:val="24"/>
        </w:rPr>
        <w:t xml:space="preserve">ossui </w:t>
      </w:r>
      <w:proofErr w:type="gramStart"/>
      <w:r w:rsidR="00DA2525">
        <w:rPr>
          <w:rFonts w:ascii="Arial" w:hAnsi="Arial" w:cs="Arial"/>
          <w:color w:val="000000" w:themeColor="text1"/>
          <w:sz w:val="24"/>
          <w:szCs w:val="24"/>
        </w:rPr>
        <w:t>4</w:t>
      </w:r>
      <w:proofErr w:type="gramEnd"/>
      <w:r w:rsidR="00DA2525">
        <w:rPr>
          <w:rFonts w:ascii="Arial" w:hAnsi="Arial" w:cs="Arial"/>
          <w:color w:val="000000" w:themeColor="text1"/>
          <w:sz w:val="24"/>
          <w:szCs w:val="24"/>
        </w:rPr>
        <w:t xml:space="preserve">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54036C"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CF10B0" w:rsidRPr="00EE0611" w:rsidRDefault="00CF10B0">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7458" w:rsidRPr="001146E7" w:rsidRDefault="001D014F" w:rsidP="001146E7">
      <w:pPr>
        <w:jc w:val="right"/>
        <w:rPr>
          <w:rStyle w:val="Forte"/>
          <w:b w:val="0"/>
          <w:bCs w:val="0"/>
          <w:i/>
          <w:sz w:val="18"/>
          <w:szCs w:val="18"/>
        </w:rPr>
      </w:pPr>
      <w:r w:rsidRPr="00EE0611">
        <w:rPr>
          <w:i/>
          <w:sz w:val="18"/>
          <w:szCs w:val="18"/>
        </w:rPr>
        <w:t>Fonte: Relatório Institucional - RIH</w:t>
      </w: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454B84" w:rsidP="0066745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CENTRO CIRÚ</w:t>
      </w:r>
      <w:r w:rsidR="00E74677" w:rsidRPr="00667458">
        <w:rPr>
          <w:rFonts w:ascii="Arial" w:hAnsi="Arial" w:cs="Arial"/>
          <w:color w:val="000000" w:themeColor="text1"/>
          <w:sz w:val="24"/>
          <w:szCs w:val="24"/>
        </w:rPr>
        <w:t>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(colonoscopia, endoscopia, broncoscopia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F91CC4">
        <w:rPr>
          <w:rFonts w:ascii="Arial" w:hAnsi="Arial" w:cs="Arial"/>
          <w:b/>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F91CC4">
        <w:rPr>
          <w:rFonts w:ascii="Arial" w:hAnsi="Arial" w:cs="Arial"/>
          <w:b/>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F91CC4">
        <w:rPr>
          <w:rFonts w:ascii="Arial" w:hAnsi="Arial" w:cs="Arial"/>
          <w:b/>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F91CC4">
        <w:rPr>
          <w:rFonts w:ascii="Arial" w:hAnsi="Arial" w:cs="Arial"/>
          <w:b/>
          <w:color w:val="000000" w:themeColor="text1"/>
          <w:sz w:val="24"/>
          <w:szCs w:val="24"/>
        </w:rPr>
        <w:t>consulta sub</w:t>
      </w:r>
      <w:r w:rsidR="005F295C" w:rsidRPr="00F91CC4">
        <w:rPr>
          <w:rFonts w:ascii="Arial" w:hAnsi="Arial" w:cs="Arial"/>
          <w:b/>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lastRenderedPageBreak/>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w:t>
      </w:r>
      <w:r w:rsidR="00F91CC4">
        <w:rPr>
          <w:rFonts w:ascii="Arial" w:hAnsi="Arial" w:cs="Arial"/>
          <w:color w:val="000000" w:themeColor="text1"/>
          <w:sz w:val="24"/>
          <w:szCs w:val="24"/>
        </w:rPr>
        <w:t>entero</w:t>
      </w:r>
      <w:r w:rsidRPr="006B5F47">
        <w:rPr>
          <w:rFonts w:ascii="Arial" w:hAnsi="Arial" w:cs="Arial"/>
          <w:color w:val="000000" w:themeColor="text1"/>
          <w:sz w:val="24"/>
          <w:szCs w:val="24"/>
        </w:rPr>
        <w:t>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w:t>
      </w:r>
      <w:r w:rsidR="00F91CC4">
        <w:rPr>
          <w:rFonts w:ascii="Arial" w:hAnsi="Arial" w:cs="Arial"/>
          <w:color w:val="000000" w:themeColor="text1"/>
          <w:sz w:val="24"/>
          <w:szCs w:val="24"/>
        </w:rPr>
        <w:t>átrica</w:t>
      </w:r>
      <w:proofErr w:type="gramEnd"/>
      <w:r w:rsidR="00F91CC4">
        <w:rPr>
          <w:rFonts w:ascii="Arial" w:hAnsi="Arial" w:cs="Arial"/>
          <w:color w:val="000000" w:themeColor="text1"/>
          <w:sz w:val="24"/>
          <w:szCs w:val="24"/>
        </w:rPr>
        <w:t>, nefrologia, neurologia</w:t>
      </w:r>
      <w:r w:rsidRPr="006B5F47">
        <w:rPr>
          <w:rFonts w:ascii="Arial" w:hAnsi="Arial" w:cs="Arial"/>
          <w:color w:val="000000" w:themeColor="text1"/>
          <w:sz w:val="24"/>
          <w:szCs w:val="24"/>
        </w:rPr>
        <w:t>,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broncoscopia, colonoscopia,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lastRenderedPageBreak/>
        <w:t xml:space="preserve">Através do estudo de fluidos corporais </w:t>
      </w:r>
      <w:r w:rsidR="00331A15">
        <w:rPr>
          <w:rStyle w:val="nfase"/>
          <w:rFonts w:ascii="Arial" w:hAnsi="Arial" w:cs="Arial"/>
          <w:bCs/>
          <w:i w:val="0"/>
          <w:sz w:val="24"/>
          <w:szCs w:val="24"/>
        </w:rPr>
        <w:t>coletados do paciente (</w:t>
      </w:r>
      <w:r w:rsidRPr="006B5F47">
        <w:rPr>
          <w:rStyle w:val="nfase"/>
          <w:rFonts w:ascii="Arial" w:hAnsi="Arial" w:cs="Arial"/>
          <w:bCs/>
          <w:i w:val="0"/>
          <w:sz w:val="24"/>
          <w:szCs w:val="24"/>
        </w:rPr>
        <w:t>sangue, urina, saliva, fezes, esperma, fragmentos de tecido, líquido sinovial, pleural, líquido cefalorraquidiano</w:t>
      </w:r>
      <w:r w:rsidR="00331A15">
        <w:rPr>
          <w:rStyle w:val="nfase"/>
          <w:rFonts w:ascii="Arial" w:hAnsi="Arial" w:cs="Arial"/>
          <w:bCs/>
          <w:i w:val="0"/>
          <w:sz w:val="24"/>
          <w:szCs w:val="24"/>
        </w:rPr>
        <w:t>)</w:t>
      </w:r>
      <w:r w:rsidRPr="006B5F47">
        <w:rPr>
          <w:rStyle w:val="nfase"/>
          <w:rFonts w:ascii="Arial" w:hAnsi="Arial" w:cs="Arial"/>
          <w:bCs/>
          <w:i w:val="0"/>
          <w:sz w:val="24"/>
          <w:szCs w:val="24"/>
        </w:rPr>
        <w:t xml:space="preserve"> é possível realizar </w:t>
      </w:r>
      <w:r w:rsidRPr="006B5F47">
        <w:rPr>
          <w:rStyle w:val="nfase"/>
          <w:rFonts w:ascii="Arial" w:hAnsi="Arial" w:cs="Arial"/>
          <w:bCs/>
          <w:i w:val="0"/>
          <w:sz w:val="24"/>
          <w:szCs w:val="24"/>
          <w:shd w:val="clear" w:color="auto" w:fill="FFFFFF"/>
        </w:rPr>
        <w:t>uma grande variedade de exames</w:t>
      </w:r>
      <w:r w:rsidR="00331A15">
        <w:rPr>
          <w:rStyle w:val="nfase"/>
          <w:rFonts w:ascii="Arial" w:hAnsi="Arial" w:cs="Arial"/>
          <w:bCs/>
          <w:i w:val="0"/>
          <w:sz w:val="24"/>
          <w:szCs w:val="24"/>
          <w:shd w:val="clear" w:color="auto" w:fill="FFFFFF"/>
        </w:rPr>
        <w:t>,</w:t>
      </w:r>
      <w:r w:rsidRPr="006B5F47">
        <w:rPr>
          <w:rStyle w:val="nfase"/>
          <w:rFonts w:ascii="Arial" w:hAnsi="Arial" w:cs="Arial"/>
          <w:bCs/>
          <w:i w:val="0"/>
          <w:sz w:val="24"/>
          <w:szCs w:val="24"/>
          <w:shd w:val="clear" w:color="auto" w:fill="FFFFFF"/>
        </w:rPr>
        <w:t xml:space="preserve"> com d</w:t>
      </w:r>
      <w:r w:rsidR="00331A15">
        <w:rPr>
          <w:rStyle w:val="nfase"/>
          <w:rFonts w:ascii="Arial" w:hAnsi="Arial" w:cs="Arial"/>
          <w:bCs/>
          <w:i w:val="0"/>
          <w:sz w:val="24"/>
          <w:szCs w:val="24"/>
          <w:shd w:val="clear" w:color="auto" w:fill="FFFFFF"/>
        </w:rPr>
        <w:t>iferentes complexidades, como:</w:t>
      </w:r>
      <w:r w:rsidRPr="006B5F47">
        <w:rPr>
          <w:rStyle w:val="nfase"/>
          <w:rFonts w:ascii="Arial" w:hAnsi="Arial" w:cs="Arial"/>
          <w:bCs/>
          <w:i w:val="0"/>
          <w:sz w:val="24"/>
          <w:szCs w:val="24"/>
          <w:shd w:val="clear" w:color="auto" w:fill="FFFFFF"/>
        </w:rPr>
        <w:t xml:space="preserve">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00331A15">
        <w:rPr>
          <w:rStyle w:val="nfase"/>
          <w:rFonts w:ascii="Arial" w:hAnsi="Arial" w:cs="Arial"/>
          <w:bCs/>
          <w:i w:val="0"/>
          <w:sz w:val="24"/>
          <w:szCs w:val="24"/>
          <w:shd w:val="clear" w:color="auto" w:fill="FFFFFF"/>
        </w:rPr>
        <w:t>citopatológicas</w:t>
      </w:r>
      <w:proofErr w:type="spellEnd"/>
      <w:r w:rsidRPr="006B5F47">
        <w:rPr>
          <w:rStyle w:val="nfase"/>
          <w:rFonts w:ascii="Arial" w:hAnsi="Arial" w:cs="Arial"/>
          <w:bCs/>
          <w:i w:val="0"/>
          <w:sz w:val="24"/>
          <w:szCs w:val="24"/>
          <w:shd w:val="clear" w:color="auto" w:fill="FFFFFF"/>
        </w:rPr>
        <w:t>, b</w:t>
      </w:r>
      <w:r w:rsidR="00331A15">
        <w:rPr>
          <w:rStyle w:val="nfase"/>
          <w:rFonts w:ascii="Arial" w:hAnsi="Arial" w:cs="Arial"/>
          <w:bCs/>
          <w:i w:val="0"/>
          <w:sz w:val="24"/>
          <w:szCs w:val="24"/>
          <w:shd w:val="clear" w:color="auto" w:fill="FFFFFF"/>
        </w:rPr>
        <w:t xml:space="preserve">iópsias, citologia oncótica, </w:t>
      </w:r>
      <w:r w:rsidRPr="006B5F47">
        <w:rPr>
          <w:rStyle w:val="nfase"/>
          <w:rFonts w:ascii="Arial" w:hAnsi="Arial" w:cs="Arial"/>
          <w:bCs/>
          <w:i w:val="0"/>
          <w:sz w:val="24"/>
          <w:szCs w:val="24"/>
          <w:shd w:val="clear" w:color="auto" w:fill="FFFFFF"/>
        </w:rPr>
        <w:t>diagnóstico de doenças infecciosas, dentre outros. </w:t>
      </w:r>
    </w:p>
    <w:p w:rsidR="00B51DAA" w:rsidRDefault="00B51DAA" w:rsidP="00331A15">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331A15">
        <w:rPr>
          <w:rStyle w:val="nfase"/>
          <w:rFonts w:ascii="Arial" w:hAnsi="Arial" w:cs="Arial"/>
          <w:bCs/>
          <w:i w:val="0"/>
          <w:sz w:val="24"/>
          <w:szCs w:val="24"/>
        </w:rPr>
        <w:t>.</w:t>
      </w:r>
    </w:p>
    <w:p w:rsidR="00331A15" w:rsidRDefault="00331A15" w:rsidP="00331A15">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p>
    <w:p w:rsidR="001146E7" w:rsidRDefault="001146E7" w:rsidP="001146E7"/>
    <w:p w:rsidR="001146E7" w:rsidRDefault="001146E7" w:rsidP="001146E7"/>
    <w:p w:rsidR="001146E7" w:rsidRDefault="001146E7" w:rsidP="001146E7"/>
    <w:p w:rsidR="001146E7" w:rsidRDefault="001146E7" w:rsidP="001146E7"/>
    <w:p w:rsidR="001146E7" w:rsidRPr="001146E7" w:rsidRDefault="001146E7" w:rsidP="001146E7"/>
    <w:p w:rsidR="00C341FF" w:rsidRPr="006C72CA" w:rsidRDefault="006C72CA" w:rsidP="006C72CA">
      <w:pPr>
        <w:pStyle w:val="Ttulo1"/>
        <w:rPr>
          <w:rFonts w:ascii="Arial" w:hAnsi="Arial" w:cs="Arial"/>
          <w:color w:val="000000" w:themeColor="text1"/>
          <w:sz w:val="24"/>
          <w:szCs w:val="24"/>
        </w:rPr>
      </w:pPr>
      <w:bookmarkStart w:id="4" w:name="_Toc50962446"/>
      <w:r w:rsidRPr="006C72CA">
        <w:rPr>
          <w:rFonts w:ascii="Arial" w:hAnsi="Arial" w:cs="Arial"/>
          <w:color w:val="000000" w:themeColor="text1"/>
          <w:sz w:val="24"/>
          <w:szCs w:val="24"/>
        </w:rPr>
        <w:t>METAS DE PRODUÇÃO</w:t>
      </w:r>
      <w:r w:rsidR="00C341FF" w:rsidRPr="006C72CA">
        <w:rPr>
          <w:rFonts w:ascii="Arial" w:hAnsi="Arial" w:cs="Arial"/>
          <w:color w:val="000000" w:themeColor="text1"/>
          <w:sz w:val="24"/>
          <w:szCs w:val="24"/>
        </w:rPr>
        <w:t xml:space="preserve"> E RESULTADOS ALCANÇADOS</w:t>
      </w:r>
      <w:bookmarkEnd w:id="4"/>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6A3273"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08</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w:t>
            </w:r>
            <w:r w:rsidR="006C72CA">
              <w:rPr>
                <w:rFonts w:ascii="Arial" w:hAnsi="Arial" w:cs="Arial"/>
                <w:color w:val="auto"/>
                <w:sz w:val="24"/>
                <w:szCs w:val="24"/>
              </w:rPr>
              <w:t>30</w:t>
            </w:r>
          </w:p>
        </w:tc>
        <w:tc>
          <w:tcPr>
            <w:tcW w:w="2303" w:type="dxa"/>
            <w:vAlign w:val="center"/>
          </w:tcPr>
          <w:p w:rsidR="001C398B" w:rsidRPr="006B5F47" w:rsidRDefault="00012C1E"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6A3273">
              <w:rPr>
                <w:rFonts w:ascii="Arial" w:hAnsi="Arial" w:cs="Arial"/>
                <w:color w:val="auto"/>
                <w:sz w:val="24"/>
                <w:szCs w:val="24"/>
              </w:rPr>
              <w:t>39</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6C72CA"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200</w:t>
            </w:r>
          </w:p>
        </w:tc>
        <w:tc>
          <w:tcPr>
            <w:tcW w:w="2303" w:type="dxa"/>
            <w:vAlign w:val="center"/>
          </w:tcPr>
          <w:p w:rsidR="001C398B" w:rsidRPr="006B5F47" w:rsidRDefault="006A3273"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33</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6C72CA"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1050</w:t>
            </w:r>
          </w:p>
        </w:tc>
        <w:tc>
          <w:tcPr>
            <w:tcW w:w="2303" w:type="dxa"/>
            <w:vAlign w:val="center"/>
          </w:tcPr>
          <w:p w:rsidR="001C398B" w:rsidRPr="006B5F47" w:rsidRDefault="00012C1E"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6A3273">
              <w:rPr>
                <w:rFonts w:ascii="Arial" w:hAnsi="Arial" w:cs="Arial"/>
                <w:color w:val="auto"/>
                <w:sz w:val="24"/>
                <w:szCs w:val="24"/>
              </w:rPr>
              <w:t>261</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Default="00AF47D9" w:rsidP="00B869B0">
      <w:pPr>
        <w:spacing w:after="0" w:line="360" w:lineRule="auto"/>
        <w:ind w:firstLine="708"/>
        <w:jc w:val="both"/>
        <w:rPr>
          <w:rFonts w:ascii="Arial" w:hAnsi="Arial" w:cs="Arial"/>
          <w:color w:val="000000" w:themeColor="text1"/>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cada mês. </w:t>
      </w:r>
      <w:r w:rsidR="007F1FC6">
        <w:rPr>
          <w:rFonts w:ascii="Arial" w:hAnsi="Arial" w:cs="Arial"/>
          <w:color w:val="000000" w:themeColor="text1"/>
          <w:sz w:val="24"/>
          <w:szCs w:val="24"/>
        </w:rPr>
        <w:t xml:space="preserve">O HDT manteve a meta alcançada no mês de </w:t>
      </w:r>
      <w:proofErr w:type="gramStart"/>
      <w:r w:rsidR="007F1FC6">
        <w:rPr>
          <w:rFonts w:ascii="Arial" w:hAnsi="Arial" w:cs="Arial"/>
          <w:color w:val="000000" w:themeColor="text1"/>
          <w:sz w:val="24"/>
          <w:szCs w:val="24"/>
        </w:rPr>
        <w:t>agosto,</w:t>
      </w:r>
      <w:proofErr w:type="gramEnd"/>
      <w:r w:rsidR="007F1FC6">
        <w:rPr>
          <w:rFonts w:ascii="Arial" w:hAnsi="Arial" w:cs="Arial"/>
          <w:color w:val="000000" w:themeColor="text1"/>
          <w:sz w:val="24"/>
          <w:szCs w:val="24"/>
        </w:rPr>
        <w:t xml:space="preserve">com um total de 239 saídas faturadas, sendo 197 de Clínica Médica e 42 de Pediatria. </w:t>
      </w:r>
    </w:p>
    <w:p w:rsidR="003B7143" w:rsidRPr="003B7143" w:rsidRDefault="003B7143" w:rsidP="007F1FC6">
      <w:pPr>
        <w:spacing w:after="0" w:line="360" w:lineRule="auto"/>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75739B" w:rsidRDefault="007F1FC6" w:rsidP="0075739B">
      <w:pPr>
        <w:spacing w:after="0" w:line="360" w:lineRule="auto"/>
        <w:ind w:firstLine="708"/>
        <w:jc w:val="both"/>
        <w:rPr>
          <w:rFonts w:ascii="Arial" w:hAnsi="Arial" w:cs="Arial"/>
          <w:sz w:val="24"/>
          <w:szCs w:val="24"/>
        </w:rPr>
      </w:pPr>
      <w:r>
        <w:rPr>
          <w:rFonts w:ascii="Arial" w:hAnsi="Arial" w:cs="Arial"/>
          <w:sz w:val="24"/>
          <w:szCs w:val="24"/>
        </w:rPr>
        <w:t xml:space="preserve">Nos atendimentos de </w:t>
      </w:r>
      <w:r w:rsidR="0075739B" w:rsidRPr="003B7143">
        <w:rPr>
          <w:rFonts w:ascii="Arial" w:hAnsi="Arial" w:cs="Arial"/>
          <w:sz w:val="24"/>
          <w:szCs w:val="24"/>
        </w:rPr>
        <w:t xml:space="preserve">Hospital </w:t>
      </w:r>
      <w:r>
        <w:rPr>
          <w:rFonts w:ascii="Arial" w:hAnsi="Arial" w:cs="Arial"/>
          <w:sz w:val="24"/>
          <w:szCs w:val="24"/>
        </w:rPr>
        <w:t>Dia o HDT não atingiu a</w:t>
      </w:r>
      <w:r w:rsidR="0075739B">
        <w:rPr>
          <w:rFonts w:ascii="Arial" w:hAnsi="Arial" w:cs="Arial"/>
          <w:sz w:val="24"/>
          <w:szCs w:val="24"/>
        </w:rPr>
        <w:t xml:space="preserve"> meta</w:t>
      </w:r>
      <w:r>
        <w:rPr>
          <w:rFonts w:ascii="Arial" w:hAnsi="Arial" w:cs="Arial"/>
          <w:sz w:val="24"/>
          <w:szCs w:val="24"/>
        </w:rPr>
        <w:t xml:space="preserve"> no mês de agosto</w:t>
      </w:r>
      <w:r w:rsidR="0075739B">
        <w:rPr>
          <w:rFonts w:ascii="Arial" w:hAnsi="Arial" w:cs="Arial"/>
          <w:sz w:val="24"/>
          <w:szCs w:val="24"/>
        </w:rPr>
        <w:t>,</w:t>
      </w:r>
      <w:r w:rsidR="0075739B" w:rsidRPr="003B7143">
        <w:rPr>
          <w:rFonts w:ascii="Arial" w:hAnsi="Arial" w:cs="Arial"/>
          <w:sz w:val="24"/>
          <w:szCs w:val="24"/>
        </w:rPr>
        <w:t xml:space="preserve"> isto </w:t>
      </w:r>
      <w:r>
        <w:rPr>
          <w:rFonts w:ascii="Arial" w:hAnsi="Arial" w:cs="Arial"/>
          <w:sz w:val="24"/>
          <w:szCs w:val="24"/>
        </w:rPr>
        <w:t xml:space="preserve">ainda pode ser considerado reflexo da </w:t>
      </w:r>
      <w:r w:rsidR="0075739B">
        <w:rPr>
          <w:rFonts w:ascii="Arial" w:hAnsi="Arial" w:cs="Arial"/>
          <w:sz w:val="24"/>
          <w:szCs w:val="24"/>
        </w:rPr>
        <w:t>diminuição dos atendimentos médicos</w:t>
      </w:r>
      <w:r>
        <w:rPr>
          <w:rFonts w:ascii="Arial" w:hAnsi="Arial" w:cs="Arial"/>
          <w:sz w:val="24"/>
          <w:szCs w:val="24"/>
        </w:rPr>
        <w:t xml:space="preserve"> </w:t>
      </w:r>
      <w:proofErr w:type="gramStart"/>
      <w:r>
        <w:rPr>
          <w:rFonts w:ascii="Arial" w:hAnsi="Arial" w:cs="Arial"/>
          <w:sz w:val="24"/>
          <w:szCs w:val="24"/>
        </w:rPr>
        <w:t>eletivos/ambulatoriais</w:t>
      </w:r>
      <w:proofErr w:type="gramEnd"/>
      <w:r>
        <w:rPr>
          <w:rFonts w:ascii="Arial" w:hAnsi="Arial" w:cs="Arial"/>
          <w:sz w:val="24"/>
          <w:szCs w:val="24"/>
        </w:rPr>
        <w:t xml:space="preserve"> em decorrência da</w:t>
      </w:r>
      <w:r w:rsidR="0075739B">
        <w:rPr>
          <w:rFonts w:ascii="Arial" w:hAnsi="Arial" w:cs="Arial"/>
          <w:sz w:val="24"/>
          <w:szCs w:val="24"/>
        </w:rPr>
        <w:t xml:space="preserve"> pandemia. </w:t>
      </w:r>
    </w:p>
    <w:p w:rsidR="0075739B" w:rsidRDefault="0075739B" w:rsidP="0075739B">
      <w:pPr>
        <w:spacing w:after="0" w:line="360" w:lineRule="auto"/>
        <w:ind w:firstLine="708"/>
        <w:jc w:val="both"/>
        <w:rPr>
          <w:rFonts w:ascii="Arial" w:hAnsi="Arial" w:cs="Arial"/>
          <w:sz w:val="24"/>
          <w:szCs w:val="24"/>
        </w:rPr>
      </w:pPr>
      <w:r w:rsidRPr="003B7143">
        <w:rPr>
          <w:rFonts w:ascii="Arial" w:hAnsi="Arial" w:cs="Arial"/>
          <w:sz w:val="24"/>
          <w:szCs w:val="24"/>
        </w:rPr>
        <w:t>É um setor destinado a pacient</w:t>
      </w:r>
      <w:r w:rsidR="00CF10B0">
        <w:rPr>
          <w:rFonts w:ascii="Arial" w:hAnsi="Arial" w:cs="Arial"/>
          <w:sz w:val="24"/>
          <w:szCs w:val="24"/>
        </w:rPr>
        <w:t>es que necessitam de administração de</w:t>
      </w:r>
      <w:r w:rsidRPr="003B7143">
        <w:rPr>
          <w:rFonts w:ascii="Arial" w:hAnsi="Arial" w:cs="Arial"/>
          <w:sz w:val="24"/>
          <w:szCs w:val="24"/>
        </w:rPr>
        <w:t xml:space="preserve">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130C2" w:rsidRPr="003B7143" w:rsidRDefault="00AA002C" w:rsidP="00CF10B0">
      <w:pPr>
        <w:spacing w:after="0" w:line="360" w:lineRule="auto"/>
        <w:ind w:firstLine="568"/>
        <w:jc w:val="both"/>
        <w:rPr>
          <w:rFonts w:ascii="Arial" w:hAnsi="Arial" w:cs="Arial"/>
          <w:sz w:val="24"/>
          <w:szCs w:val="24"/>
        </w:rPr>
      </w:pPr>
      <w:r w:rsidRPr="003B7143">
        <w:rPr>
          <w:rFonts w:ascii="Arial" w:hAnsi="Arial" w:cs="Arial"/>
          <w:sz w:val="24"/>
          <w:szCs w:val="24"/>
        </w:rPr>
        <w:lastRenderedPageBreak/>
        <w:t>No período anal</w:t>
      </w:r>
      <w:r w:rsidR="007B695E" w:rsidRPr="003B7143">
        <w:rPr>
          <w:rFonts w:ascii="Arial" w:hAnsi="Arial" w:cs="Arial"/>
          <w:sz w:val="24"/>
          <w:szCs w:val="24"/>
        </w:rPr>
        <w:t xml:space="preserve">isado o Ambulatório </w:t>
      </w:r>
      <w:r w:rsidR="00CF10B0">
        <w:rPr>
          <w:rFonts w:ascii="Arial" w:hAnsi="Arial" w:cs="Arial"/>
          <w:sz w:val="24"/>
          <w:szCs w:val="24"/>
        </w:rPr>
        <w:t xml:space="preserve">manteve-se acima da meta contratada, superando-a em 115%, o que sugere uma </w:t>
      </w:r>
      <w:r w:rsidR="009757D9">
        <w:rPr>
          <w:rFonts w:ascii="Arial" w:hAnsi="Arial" w:cs="Arial"/>
          <w:sz w:val="24"/>
          <w:szCs w:val="24"/>
        </w:rPr>
        <w:t xml:space="preserve">possível </w:t>
      </w:r>
      <w:r w:rsidR="00CF10B0">
        <w:rPr>
          <w:rFonts w:ascii="Arial" w:hAnsi="Arial" w:cs="Arial"/>
          <w:sz w:val="24"/>
          <w:szCs w:val="24"/>
        </w:rPr>
        <w:t>necessidade de revisão da meta contratada, já que o HDT possui a capacidade de</w:t>
      </w:r>
      <w:r w:rsidR="009757D9">
        <w:rPr>
          <w:rFonts w:ascii="Arial" w:hAnsi="Arial" w:cs="Arial"/>
          <w:sz w:val="24"/>
          <w:szCs w:val="24"/>
        </w:rPr>
        <w:t xml:space="preserve"> ofertar</w:t>
      </w:r>
      <w:r w:rsidR="00CF10B0">
        <w:rPr>
          <w:rFonts w:ascii="Arial" w:hAnsi="Arial" w:cs="Arial"/>
          <w:sz w:val="24"/>
          <w:szCs w:val="24"/>
        </w:rPr>
        <w:t xml:space="preserve"> maior quantidade de atendimentos do que o previsto em meta contratual. </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F96D7B" w:rsidRPr="003B7143" w:rsidRDefault="00F96D7B" w:rsidP="001146E7">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lastRenderedPageBreak/>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F96D7B" w:rsidRPr="003B7143" w:rsidRDefault="00F96D7B" w:rsidP="00860CAB">
      <w:pPr>
        <w:spacing w:after="0" w:line="360" w:lineRule="auto"/>
        <w:rPr>
          <w:rFonts w:ascii="Arial" w:hAnsi="Arial" w:cs="Arial"/>
          <w:sz w:val="24"/>
          <w:szCs w:val="24"/>
        </w:rPr>
      </w:pPr>
    </w:p>
    <w:p w:rsidR="00860CAB" w:rsidRDefault="009757D9" w:rsidP="00860CAB">
      <w:pPr>
        <w:spacing w:after="0" w:line="360" w:lineRule="auto"/>
        <w:ind w:firstLine="708"/>
        <w:jc w:val="both"/>
        <w:rPr>
          <w:rFonts w:ascii="Arial" w:hAnsi="Arial" w:cs="Arial"/>
          <w:sz w:val="24"/>
          <w:szCs w:val="24"/>
        </w:rPr>
      </w:pPr>
      <w:r>
        <w:rPr>
          <w:rFonts w:ascii="Arial" w:hAnsi="Arial" w:cs="Arial"/>
          <w:sz w:val="24"/>
          <w:szCs w:val="24"/>
        </w:rPr>
        <w:t>O HDT, mesmo com a quantidade de bloqueios técnicos diários (precauções especiais)</w:t>
      </w:r>
      <w:r w:rsidR="00860CAB">
        <w:rPr>
          <w:rFonts w:ascii="Arial" w:hAnsi="Arial" w:cs="Arial"/>
          <w:sz w:val="24"/>
          <w:szCs w:val="24"/>
        </w:rPr>
        <w:t xml:space="preserve"> </w:t>
      </w:r>
      <w:r>
        <w:rPr>
          <w:rFonts w:ascii="Arial" w:hAnsi="Arial" w:cs="Arial"/>
          <w:sz w:val="24"/>
          <w:szCs w:val="24"/>
        </w:rPr>
        <w:t xml:space="preserve">alcançou a meta contratada no mês de agosto. </w:t>
      </w:r>
      <w:r w:rsidR="00860CAB">
        <w:rPr>
          <w:rFonts w:ascii="Arial" w:hAnsi="Arial" w:cs="Arial"/>
          <w:sz w:val="24"/>
          <w:szCs w:val="24"/>
        </w:rPr>
        <w:t xml:space="preserve"> </w:t>
      </w:r>
    </w:p>
    <w:p w:rsidR="00860CAB" w:rsidRPr="003B7143" w:rsidRDefault="00860CAB" w:rsidP="00860CAB">
      <w:pPr>
        <w:spacing w:after="0" w:line="360" w:lineRule="auto"/>
        <w:ind w:firstLine="708"/>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0CAB" w:rsidRPr="001146E7" w:rsidRDefault="00860CAB" w:rsidP="001146E7">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0B7F66">
      <w:pPr>
        <w:spacing w:after="0" w:line="360" w:lineRule="auto"/>
        <w:rPr>
          <w:rFonts w:ascii="Arial" w:hAnsi="Arial" w:cs="Arial"/>
          <w:sz w:val="24"/>
          <w:szCs w:val="24"/>
        </w:rPr>
      </w:pPr>
    </w:p>
    <w:p w:rsidR="009757D9"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5522C" w:rsidRDefault="009757D9" w:rsidP="000B7F66">
      <w:pPr>
        <w:spacing w:after="0" w:line="360" w:lineRule="auto"/>
        <w:ind w:firstLine="708"/>
        <w:jc w:val="both"/>
        <w:rPr>
          <w:rFonts w:ascii="Arial" w:hAnsi="Arial" w:cs="Arial"/>
          <w:sz w:val="24"/>
          <w:szCs w:val="24"/>
        </w:rPr>
      </w:pPr>
      <w:r>
        <w:rPr>
          <w:rFonts w:ascii="Arial" w:hAnsi="Arial" w:cs="Arial"/>
          <w:sz w:val="24"/>
          <w:szCs w:val="24"/>
        </w:rPr>
        <w:t>No</w:t>
      </w:r>
      <w:r w:rsidR="000D0A29">
        <w:rPr>
          <w:rFonts w:ascii="Arial" w:hAnsi="Arial" w:cs="Arial"/>
          <w:sz w:val="24"/>
          <w:szCs w:val="24"/>
        </w:rPr>
        <w:t xml:space="preserve"> mês </w:t>
      </w:r>
      <w:r>
        <w:rPr>
          <w:rFonts w:ascii="Arial" w:hAnsi="Arial" w:cs="Arial"/>
          <w:sz w:val="24"/>
          <w:szCs w:val="24"/>
        </w:rPr>
        <w:t>de agosto</w:t>
      </w:r>
      <w:r w:rsidR="000D0A29">
        <w:rPr>
          <w:rFonts w:ascii="Arial" w:hAnsi="Arial" w:cs="Arial"/>
          <w:sz w:val="24"/>
          <w:szCs w:val="24"/>
        </w:rPr>
        <w:t xml:space="preserve"> </w:t>
      </w:r>
      <w:r w:rsidR="00F7550D">
        <w:rPr>
          <w:rFonts w:ascii="Arial" w:hAnsi="Arial" w:cs="Arial"/>
          <w:sz w:val="24"/>
          <w:szCs w:val="24"/>
        </w:rPr>
        <w:t xml:space="preserve">a média de permanência </w:t>
      </w:r>
      <w:r>
        <w:rPr>
          <w:rFonts w:ascii="Arial" w:hAnsi="Arial" w:cs="Arial"/>
          <w:sz w:val="24"/>
          <w:szCs w:val="24"/>
        </w:rPr>
        <w:t>não atingiu a meta</w:t>
      </w:r>
      <w:r w:rsidR="00F7550D">
        <w:rPr>
          <w:rFonts w:ascii="Arial" w:hAnsi="Arial" w:cs="Arial"/>
          <w:sz w:val="24"/>
          <w:szCs w:val="24"/>
        </w:rPr>
        <w:t xml:space="preserve">, </w:t>
      </w:r>
      <w:r>
        <w:rPr>
          <w:rFonts w:ascii="Arial" w:hAnsi="Arial" w:cs="Arial"/>
          <w:sz w:val="24"/>
          <w:szCs w:val="24"/>
        </w:rPr>
        <w:t xml:space="preserve">o que pode ser justificado pelo potencial nível de gravidade dos pacientes internados.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Fórmula:</w:t>
      </w:r>
      <w:proofErr w:type="gramStart"/>
      <w:r w:rsidRPr="003B7143">
        <w:rPr>
          <w:rFonts w:ascii="Arial" w:hAnsi="Arial" w:cs="Arial"/>
          <w:sz w:val="24"/>
          <w:szCs w:val="24"/>
          <w:shd w:val="clear" w:color="auto" w:fill="FFFFFF"/>
        </w:rPr>
        <w:t xml:space="preserve">   </w:t>
      </w:r>
      <w:proofErr w:type="gramEnd"/>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ocupaçã</w:t>
      </w:r>
      <w:r w:rsidR="00502A30">
        <w:rPr>
          <w:rFonts w:ascii="Arial" w:eastAsia="Times New Roman" w:hAnsi="Arial" w:cs="Arial"/>
          <w:i/>
          <w:u w:val="single"/>
          <w:lang w:eastAsia="pt-BR"/>
        </w:rPr>
        <w:t>o</w:t>
      </w:r>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314825" cy="1847850"/>
            <wp:effectExtent l="19050" t="0" r="9525"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3A3FA9" w:rsidRDefault="000B7F66" w:rsidP="00012C1E">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9757D9" w:rsidRPr="003B7143" w:rsidRDefault="009757D9" w:rsidP="00012C1E">
      <w:pPr>
        <w:spacing w:after="0" w:line="360" w:lineRule="auto"/>
        <w:ind w:firstLine="708"/>
        <w:jc w:val="both"/>
        <w:rPr>
          <w:rFonts w:ascii="Arial" w:hAnsi="Arial" w:cs="Arial"/>
          <w:sz w:val="24"/>
          <w:szCs w:val="24"/>
        </w:rPr>
      </w:pPr>
      <w:r>
        <w:rPr>
          <w:rFonts w:ascii="Arial" w:hAnsi="Arial" w:cs="Arial"/>
          <w:sz w:val="24"/>
          <w:szCs w:val="24"/>
        </w:rPr>
        <w:t>O HDT manteve-se dentro da meta durante o mês de agosto.</w:t>
      </w:r>
    </w:p>
    <w:p w:rsidR="00D9220F" w:rsidRDefault="00D9220F" w:rsidP="000B7F66">
      <w:pPr>
        <w:spacing w:after="0" w:line="360" w:lineRule="auto"/>
        <w:jc w:val="both"/>
        <w:rPr>
          <w:rFonts w:ascii="Arial" w:hAnsi="Arial" w:cs="Arial"/>
          <w:b/>
          <w:color w:val="1F497D" w:themeColor="text2"/>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lastRenderedPageBreak/>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314825" cy="2047875"/>
            <wp:effectExtent l="19050" t="0" r="9525"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247D" w:rsidRPr="000B7F66" w:rsidRDefault="00AA247D" w:rsidP="00AA247D">
      <w:pPr>
        <w:jc w:val="right"/>
        <w:rPr>
          <w:i/>
          <w:sz w:val="18"/>
          <w:szCs w:val="18"/>
        </w:rPr>
      </w:pPr>
      <w:r w:rsidRPr="00EE0611">
        <w:rPr>
          <w:i/>
          <w:sz w:val="18"/>
          <w:szCs w:val="18"/>
        </w:rPr>
        <w:lastRenderedPageBreak/>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7F6363" w:rsidRDefault="004C104C" w:rsidP="00F0678F">
      <w:pPr>
        <w:pStyle w:val="Ttulo1"/>
        <w:rPr>
          <w:rFonts w:ascii="Arial" w:hAnsi="Arial" w:cs="Arial"/>
          <w:color w:val="000000" w:themeColor="text1"/>
          <w:sz w:val="24"/>
          <w:szCs w:val="24"/>
        </w:rPr>
      </w:pPr>
      <w:bookmarkStart w:id="5" w:name="_Toc50962447"/>
      <w:r w:rsidRPr="003B7143">
        <w:rPr>
          <w:rFonts w:ascii="Arial" w:hAnsi="Arial" w:cs="Arial"/>
          <w:color w:val="000000" w:themeColor="text1"/>
          <w:sz w:val="24"/>
          <w:szCs w:val="24"/>
        </w:rPr>
        <w:t>AÇÕES E ATIVIDADES</w:t>
      </w:r>
      <w:bookmarkEnd w:id="5"/>
    </w:p>
    <w:p w:rsidR="00F0678F" w:rsidRPr="00F0678F" w:rsidRDefault="00F0678F" w:rsidP="00F0678F"/>
    <w:p w:rsidR="00337DC2" w:rsidRDefault="00546FE2" w:rsidP="00F0678F">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4866139" cy="6176613"/>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2727" t="24603" r="33025" b="5820"/>
                    <a:stretch>
                      <a:fillRect/>
                    </a:stretch>
                  </pic:blipFill>
                  <pic:spPr bwMode="auto">
                    <a:xfrm>
                      <a:off x="0" y="0"/>
                      <a:ext cx="4869913" cy="6181403"/>
                    </a:xfrm>
                    <a:prstGeom prst="rect">
                      <a:avLst/>
                    </a:prstGeom>
                    <a:noFill/>
                    <a:ln w="9525">
                      <a:noFill/>
                      <a:miter lim="800000"/>
                      <a:headEnd/>
                      <a:tailEnd/>
                    </a:ln>
                  </pic:spPr>
                </pic:pic>
              </a:graphicData>
            </a:graphic>
          </wp:inline>
        </w:drawing>
      </w:r>
    </w:p>
    <w:p w:rsidR="00F0678F" w:rsidRDefault="00F0678F" w:rsidP="003A3FA9">
      <w:pPr>
        <w:spacing w:after="0" w:line="360" w:lineRule="auto"/>
        <w:rPr>
          <w:rFonts w:ascii="Arial" w:hAnsi="Arial" w:cs="Arial"/>
          <w:b/>
          <w:color w:val="FF0000"/>
          <w:sz w:val="24"/>
          <w:szCs w:val="24"/>
        </w:rPr>
      </w:pPr>
    </w:p>
    <w:p w:rsidR="00337DC2" w:rsidRDefault="00337DC2" w:rsidP="00F0678F">
      <w:pPr>
        <w:spacing w:after="0" w:line="360" w:lineRule="auto"/>
        <w:jc w:val="center"/>
        <w:rPr>
          <w:rFonts w:ascii="Arial" w:hAnsi="Arial" w:cs="Arial"/>
          <w:b/>
          <w:color w:val="FF0000"/>
          <w:sz w:val="24"/>
          <w:szCs w:val="24"/>
        </w:rPr>
      </w:pPr>
      <w:bookmarkStart w:id="6" w:name="_GoBack"/>
      <w:bookmarkEnd w:id="6"/>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Pr="00F0678F" w:rsidRDefault="00546FE2" w:rsidP="00F0678F">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lastRenderedPageBreak/>
        <w:drawing>
          <wp:inline distT="0" distB="0" distL="0" distR="0">
            <wp:extent cx="5238636" cy="6410325"/>
            <wp:effectExtent l="19050" t="0" r="114"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30593" t="20189" r="31207" b="5026"/>
                    <a:stretch>
                      <a:fillRect/>
                    </a:stretch>
                  </pic:blipFill>
                  <pic:spPr bwMode="auto">
                    <a:xfrm>
                      <a:off x="0" y="0"/>
                      <a:ext cx="5238636" cy="6410325"/>
                    </a:xfrm>
                    <a:prstGeom prst="rect">
                      <a:avLst/>
                    </a:prstGeom>
                    <a:noFill/>
                    <a:ln w="9525">
                      <a:noFill/>
                      <a:miter lim="800000"/>
                      <a:headEnd/>
                      <a:tailEnd/>
                    </a:ln>
                  </pic:spPr>
                </pic:pic>
              </a:graphicData>
            </a:graphic>
          </wp:inline>
        </w:drawing>
      </w:r>
    </w:p>
    <w:sectPr w:rsidR="00546FE2" w:rsidRPr="00F0678F" w:rsidSect="000A47ED">
      <w:headerReference w:type="default" r:id="rId23"/>
      <w:footerReference w:type="default" r:id="rId24"/>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0B0" w:rsidRDefault="00CF10B0" w:rsidP="009B5447">
      <w:pPr>
        <w:spacing w:after="0" w:line="240" w:lineRule="auto"/>
      </w:pPr>
      <w:r>
        <w:separator/>
      </w:r>
    </w:p>
  </w:endnote>
  <w:endnote w:type="continuationSeparator" w:id="0">
    <w:p w:rsidR="00CF10B0" w:rsidRDefault="00CF10B0"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CF10B0" w:rsidRDefault="00CF10B0">
        <w:pPr>
          <w:pStyle w:val="Rodap"/>
          <w:jc w:val="right"/>
        </w:pPr>
        <w:fldSimple w:instr="PAGE   \* MERGEFORMAT">
          <w:r w:rsidR="009757D9">
            <w:rPr>
              <w:noProof/>
            </w:rPr>
            <w:t>20</w:t>
          </w:r>
        </w:fldSimple>
      </w:p>
    </w:sdtContent>
  </w:sdt>
  <w:p w:rsidR="00CF10B0" w:rsidRDefault="00CF10B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0B0" w:rsidRDefault="00CF10B0" w:rsidP="009B5447">
      <w:pPr>
        <w:spacing w:after="0" w:line="240" w:lineRule="auto"/>
      </w:pPr>
      <w:r>
        <w:separator/>
      </w:r>
    </w:p>
  </w:footnote>
  <w:footnote w:type="continuationSeparator" w:id="0">
    <w:p w:rsidR="00CF10B0" w:rsidRDefault="00CF10B0"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B0" w:rsidRDefault="00CF10B0">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CF10B0" w:rsidRDefault="00CF10B0">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B0" w:rsidRDefault="00CF10B0">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CF10B0" w:rsidRDefault="00CF10B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9089">
      <o:colormenu v:ext="edit" strokecolor="none"/>
    </o:shapedefaults>
  </w:hdrShapeDefaults>
  <w:footnotePr>
    <w:footnote w:id="-1"/>
    <w:footnote w:id="0"/>
  </w:footnotePr>
  <w:endnotePr>
    <w:endnote w:id="-1"/>
    <w:endnote w:id="0"/>
  </w:endnotePr>
  <w:compat/>
  <w:rsids>
    <w:rsidRoot w:val="009B5447"/>
    <w:rsid w:val="00005B31"/>
    <w:rsid w:val="0001256A"/>
    <w:rsid w:val="00012C1E"/>
    <w:rsid w:val="00014395"/>
    <w:rsid w:val="000305F7"/>
    <w:rsid w:val="000320EC"/>
    <w:rsid w:val="00037CA6"/>
    <w:rsid w:val="00041579"/>
    <w:rsid w:val="000548D3"/>
    <w:rsid w:val="0005522C"/>
    <w:rsid w:val="00055927"/>
    <w:rsid w:val="00077036"/>
    <w:rsid w:val="00077AE1"/>
    <w:rsid w:val="00085DDA"/>
    <w:rsid w:val="0008643C"/>
    <w:rsid w:val="000A47ED"/>
    <w:rsid w:val="000A6838"/>
    <w:rsid w:val="000B413C"/>
    <w:rsid w:val="000B7F66"/>
    <w:rsid w:val="000C0B1D"/>
    <w:rsid w:val="000D0A29"/>
    <w:rsid w:val="000D0EE8"/>
    <w:rsid w:val="000D6F93"/>
    <w:rsid w:val="000D785D"/>
    <w:rsid w:val="00104CC4"/>
    <w:rsid w:val="001063FB"/>
    <w:rsid w:val="001130C2"/>
    <w:rsid w:val="001146E7"/>
    <w:rsid w:val="0011567F"/>
    <w:rsid w:val="001363F4"/>
    <w:rsid w:val="00141F99"/>
    <w:rsid w:val="0014330D"/>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C398B"/>
    <w:rsid w:val="001D014F"/>
    <w:rsid w:val="001E0510"/>
    <w:rsid w:val="00200923"/>
    <w:rsid w:val="00210B32"/>
    <w:rsid w:val="002111D2"/>
    <w:rsid w:val="002432D9"/>
    <w:rsid w:val="0025705F"/>
    <w:rsid w:val="00261CAF"/>
    <w:rsid w:val="0027744B"/>
    <w:rsid w:val="00277558"/>
    <w:rsid w:val="00285CAE"/>
    <w:rsid w:val="002A2CA9"/>
    <w:rsid w:val="002D0628"/>
    <w:rsid w:val="002D18FF"/>
    <w:rsid w:val="002D6C53"/>
    <w:rsid w:val="002E1513"/>
    <w:rsid w:val="002E1A7C"/>
    <w:rsid w:val="002E4C90"/>
    <w:rsid w:val="002F5143"/>
    <w:rsid w:val="003101E0"/>
    <w:rsid w:val="00312642"/>
    <w:rsid w:val="00314AFE"/>
    <w:rsid w:val="00323913"/>
    <w:rsid w:val="00330B11"/>
    <w:rsid w:val="00331A15"/>
    <w:rsid w:val="00337DC2"/>
    <w:rsid w:val="0034152E"/>
    <w:rsid w:val="00344CC1"/>
    <w:rsid w:val="00352DC4"/>
    <w:rsid w:val="00354CDB"/>
    <w:rsid w:val="00355AA3"/>
    <w:rsid w:val="00364925"/>
    <w:rsid w:val="00371D05"/>
    <w:rsid w:val="00396A0F"/>
    <w:rsid w:val="003A3FA9"/>
    <w:rsid w:val="003B7143"/>
    <w:rsid w:val="003C38A2"/>
    <w:rsid w:val="003D22D9"/>
    <w:rsid w:val="003D6C5B"/>
    <w:rsid w:val="003E34AD"/>
    <w:rsid w:val="003F18B8"/>
    <w:rsid w:val="00403D5C"/>
    <w:rsid w:val="0041174D"/>
    <w:rsid w:val="00412042"/>
    <w:rsid w:val="00414848"/>
    <w:rsid w:val="00424D5B"/>
    <w:rsid w:val="00430FF8"/>
    <w:rsid w:val="00454B84"/>
    <w:rsid w:val="00470F00"/>
    <w:rsid w:val="0048478B"/>
    <w:rsid w:val="00491E6D"/>
    <w:rsid w:val="00492D90"/>
    <w:rsid w:val="004945E2"/>
    <w:rsid w:val="004A039C"/>
    <w:rsid w:val="004A6816"/>
    <w:rsid w:val="004B096C"/>
    <w:rsid w:val="004C05B2"/>
    <w:rsid w:val="004C104C"/>
    <w:rsid w:val="004C5824"/>
    <w:rsid w:val="004D2CEC"/>
    <w:rsid w:val="004F0E4F"/>
    <w:rsid w:val="00501BDD"/>
    <w:rsid w:val="00502425"/>
    <w:rsid w:val="00502A30"/>
    <w:rsid w:val="00510B83"/>
    <w:rsid w:val="00511610"/>
    <w:rsid w:val="005130EE"/>
    <w:rsid w:val="00514ED0"/>
    <w:rsid w:val="0052374D"/>
    <w:rsid w:val="005346CA"/>
    <w:rsid w:val="00536052"/>
    <w:rsid w:val="0054036C"/>
    <w:rsid w:val="00541111"/>
    <w:rsid w:val="00546FE2"/>
    <w:rsid w:val="00555219"/>
    <w:rsid w:val="00582E5E"/>
    <w:rsid w:val="0059725D"/>
    <w:rsid w:val="005A0371"/>
    <w:rsid w:val="005B2F55"/>
    <w:rsid w:val="005B6D25"/>
    <w:rsid w:val="005D141A"/>
    <w:rsid w:val="005D5AD6"/>
    <w:rsid w:val="005F0025"/>
    <w:rsid w:val="005F09FE"/>
    <w:rsid w:val="005F295C"/>
    <w:rsid w:val="005F5621"/>
    <w:rsid w:val="006047E6"/>
    <w:rsid w:val="00612978"/>
    <w:rsid w:val="006250B8"/>
    <w:rsid w:val="00634BD9"/>
    <w:rsid w:val="00652B09"/>
    <w:rsid w:val="00667458"/>
    <w:rsid w:val="00672C42"/>
    <w:rsid w:val="00672EC9"/>
    <w:rsid w:val="00682A29"/>
    <w:rsid w:val="00682D93"/>
    <w:rsid w:val="00690AA7"/>
    <w:rsid w:val="006A1A76"/>
    <w:rsid w:val="006A3273"/>
    <w:rsid w:val="006A47B7"/>
    <w:rsid w:val="006B5F47"/>
    <w:rsid w:val="006B7D27"/>
    <w:rsid w:val="006C0334"/>
    <w:rsid w:val="006C72CA"/>
    <w:rsid w:val="006E09DD"/>
    <w:rsid w:val="006E1D7C"/>
    <w:rsid w:val="00701738"/>
    <w:rsid w:val="00703ADE"/>
    <w:rsid w:val="00716A20"/>
    <w:rsid w:val="007215D2"/>
    <w:rsid w:val="007252AE"/>
    <w:rsid w:val="0073465C"/>
    <w:rsid w:val="00740FE1"/>
    <w:rsid w:val="007440FE"/>
    <w:rsid w:val="0075359B"/>
    <w:rsid w:val="0075739B"/>
    <w:rsid w:val="0076071D"/>
    <w:rsid w:val="007720F4"/>
    <w:rsid w:val="00782864"/>
    <w:rsid w:val="00785361"/>
    <w:rsid w:val="00794EDD"/>
    <w:rsid w:val="00797F44"/>
    <w:rsid w:val="007B695E"/>
    <w:rsid w:val="007C2A0E"/>
    <w:rsid w:val="007C4756"/>
    <w:rsid w:val="007D52E4"/>
    <w:rsid w:val="007E5218"/>
    <w:rsid w:val="007F184A"/>
    <w:rsid w:val="007F1FC6"/>
    <w:rsid w:val="007F3083"/>
    <w:rsid w:val="007F6363"/>
    <w:rsid w:val="00801DEF"/>
    <w:rsid w:val="008063CA"/>
    <w:rsid w:val="008150EB"/>
    <w:rsid w:val="0081720B"/>
    <w:rsid w:val="00826A6E"/>
    <w:rsid w:val="0083591D"/>
    <w:rsid w:val="0084621F"/>
    <w:rsid w:val="00847534"/>
    <w:rsid w:val="00854CF2"/>
    <w:rsid w:val="0085601D"/>
    <w:rsid w:val="00860CAB"/>
    <w:rsid w:val="008642A1"/>
    <w:rsid w:val="00866275"/>
    <w:rsid w:val="00870A2D"/>
    <w:rsid w:val="00887923"/>
    <w:rsid w:val="00896CCD"/>
    <w:rsid w:val="008A4D59"/>
    <w:rsid w:val="008C25AC"/>
    <w:rsid w:val="008D29B1"/>
    <w:rsid w:val="008E0811"/>
    <w:rsid w:val="008E27B8"/>
    <w:rsid w:val="008F2141"/>
    <w:rsid w:val="008F33A5"/>
    <w:rsid w:val="00913666"/>
    <w:rsid w:val="00916A50"/>
    <w:rsid w:val="009253ED"/>
    <w:rsid w:val="00932EFD"/>
    <w:rsid w:val="00946E2F"/>
    <w:rsid w:val="00964BCE"/>
    <w:rsid w:val="00972759"/>
    <w:rsid w:val="009757D9"/>
    <w:rsid w:val="00985619"/>
    <w:rsid w:val="00985830"/>
    <w:rsid w:val="009A6E2B"/>
    <w:rsid w:val="009B0AB6"/>
    <w:rsid w:val="009B0ABA"/>
    <w:rsid w:val="009B25D6"/>
    <w:rsid w:val="009B3F62"/>
    <w:rsid w:val="009B5447"/>
    <w:rsid w:val="009C1EF5"/>
    <w:rsid w:val="009D5909"/>
    <w:rsid w:val="009E2E13"/>
    <w:rsid w:val="009E7309"/>
    <w:rsid w:val="009F0C0A"/>
    <w:rsid w:val="00A00E18"/>
    <w:rsid w:val="00A05009"/>
    <w:rsid w:val="00A27E0F"/>
    <w:rsid w:val="00A40A0F"/>
    <w:rsid w:val="00A500F9"/>
    <w:rsid w:val="00A53655"/>
    <w:rsid w:val="00A57EE1"/>
    <w:rsid w:val="00A7132A"/>
    <w:rsid w:val="00A72AE1"/>
    <w:rsid w:val="00A737BF"/>
    <w:rsid w:val="00A759B9"/>
    <w:rsid w:val="00A9411E"/>
    <w:rsid w:val="00A956FB"/>
    <w:rsid w:val="00A96138"/>
    <w:rsid w:val="00A96E4C"/>
    <w:rsid w:val="00AA002C"/>
    <w:rsid w:val="00AA247D"/>
    <w:rsid w:val="00AA49E1"/>
    <w:rsid w:val="00AB204C"/>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82CD1"/>
    <w:rsid w:val="00B869B0"/>
    <w:rsid w:val="00B92F07"/>
    <w:rsid w:val="00BC14AC"/>
    <w:rsid w:val="00BC4FD4"/>
    <w:rsid w:val="00BC6926"/>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7FBA"/>
    <w:rsid w:val="00C80908"/>
    <w:rsid w:val="00C85F76"/>
    <w:rsid w:val="00CB2EF5"/>
    <w:rsid w:val="00CC6068"/>
    <w:rsid w:val="00CD00A5"/>
    <w:rsid w:val="00CD60D8"/>
    <w:rsid w:val="00CE3A9C"/>
    <w:rsid w:val="00CF10B0"/>
    <w:rsid w:val="00CF4D95"/>
    <w:rsid w:val="00D01A7B"/>
    <w:rsid w:val="00D0641E"/>
    <w:rsid w:val="00D10772"/>
    <w:rsid w:val="00D16654"/>
    <w:rsid w:val="00D30F98"/>
    <w:rsid w:val="00D61557"/>
    <w:rsid w:val="00D63D5D"/>
    <w:rsid w:val="00D749E2"/>
    <w:rsid w:val="00D74D22"/>
    <w:rsid w:val="00D8141C"/>
    <w:rsid w:val="00D91309"/>
    <w:rsid w:val="00D92144"/>
    <w:rsid w:val="00D9220F"/>
    <w:rsid w:val="00D97EF1"/>
    <w:rsid w:val="00DA2525"/>
    <w:rsid w:val="00DA25E6"/>
    <w:rsid w:val="00DB3E31"/>
    <w:rsid w:val="00DB5EAB"/>
    <w:rsid w:val="00DB6C72"/>
    <w:rsid w:val="00DC0D0B"/>
    <w:rsid w:val="00DC194B"/>
    <w:rsid w:val="00DC217F"/>
    <w:rsid w:val="00DC394E"/>
    <w:rsid w:val="00DC4704"/>
    <w:rsid w:val="00DC47FA"/>
    <w:rsid w:val="00DF0E8F"/>
    <w:rsid w:val="00E10E13"/>
    <w:rsid w:val="00E24754"/>
    <w:rsid w:val="00E24BC1"/>
    <w:rsid w:val="00E25B1F"/>
    <w:rsid w:val="00E35F48"/>
    <w:rsid w:val="00E3786C"/>
    <w:rsid w:val="00E4122C"/>
    <w:rsid w:val="00E5648D"/>
    <w:rsid w:val="00E6076C"/>
    <w:rsid w:val="00E65EC9"/>
    <w:rsid w:val="00E67B69"/>
    <w:rsid w:val="00E74677"/>
    <w:rsid w:val="00E817EB"/>
    <w:rsid w:val="00E86EA4"/>
    <w:rsid w:val="00EB69CD"/>
    <w:rsid w:val="00EB7825"/>
    <w:rsid w:val="00ED1E6A"/>
    <w:rsid w:val="00EE0611"/>
    <w:rsid w:val="00EE371D"/>
    <w:rsid w:val="00EE3EC5"/>
    <w:rsid w:val="00EE47C1"/>
    <w:rsid w:val="00EF33BE"/>
    <w:rsid w:val="00F0678F"/>
    <w:rsid w:val="00F10525"/>
    <w:rsid w:val="00F12235"/>
    <w:rsid w:val="00F211E8"/>
    <w:rsid w:val="00F26452"/>
    <w:rsid w:val="00F33C46"/>
    <w:rsid w:val="00F477EE"/>
    <w:rsid w:val="00F71E8F"/>
    <w:rsid w:val="00F7550D"/>
    <w:rsid w:val="00F75B4C"/>
    <w:rsid w:val="00F76E6C"/>
    <w:rsid w:val="00F8009A"/>
    <w:rsid w:val="00F91CC4"/>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908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2.xml"/><Relationship Id="rId28"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Número de leitos / Unidade de Internação</a:t>
            </a:r>
          </a:p>
        </c:rich>
      </c:tx>
      <c:layout/>
    </c:title>
    <c:plotArea>
      <c:layout/>
      <c:barChart>
        <c:barDir val="col"/>
        <c:grouping val="clustered"/>
        <c:ser>
          <c:idx val="0"/>
          <c:order val="0"/>
          <c:tx>
            <c:strRef>
              <c:f>Plan1!$B$1</c:f>
              <c:strCache>
                <c:ptCount val="1"/>
                <c:pt idx="0">
                  <c:v>Série 1</c:v>
                </c:pt>
              </c:strCache>
            </c:strRef>
          </c:tx>
          <c:dPt>
            <c:idx val="7"/>
            <c:spPr>
              <a:solidFill>
                <a:srgbClr val="C00000"/>
              </a:solidFill>
            </c:spPr>
          </c:dPt>
          <c:dLbls>
            <c:dLbl>
              <c:idx val="0"/>
              <c:layout/>
              <c:tx>
                <c:rich>
                  <a:bodyPr/>
                  <a:lstStyle/>
                  <a:p>
                    <a:r>
                      <a:rPr lang="en-US"/>
                      <a:t>9</a:t>
                    </a:r>
                  </a:p>
                  <a:p>
                    <a:endParaRPr lang="en-US"/>
                  </a:p>
                </c:rich>
              </c:tx>
              <c:showVal val="1"/>
            </c:dLbl>
            <c:dLbl>
              <c:idx val="1"/>
              <c:delete val="1"/>
            </c:dLbl>
            <c:showVal val="1"/>
          </c:dLbls>
          <c:cat>
            <c:strRef>
              <c:f>Plan1!$A$2:$A$9</c:f>
              <c:strCache>
                <c:ptCount val="8"/>
                <c:pt idx="0">
                  <c:v>UTI Adulto</c:v>
                </c:pt>
                <c:pt idx="1">
                  <c:v>UTI Pediátrica</c:v>
                </c:pt>
                <c:pt idx="2">
                  <c:v>UTI COVID </c:v>
                </c:pt>
                <c:pt idx="3">
                  <c:v>Emergência </c:v>
                </c:pt>
                <c:pt idx="4">
                  <c:v>U.I. Adulto</c:v>
                </c:pt>
                <c:pt idx="5">
                  <c:v>U.I. Pediátrica </c:v>
                </c:pt>
                <c:pt idx="6">
                  <c:v>Hospital Dia </c:v>
                </c:pt>
                <c:pt idx="7">
                  <c:v>Total </c:v>
                </c:pt>
              </c:strCache>
            </c:strRef>
          </c:cat>
          <c:val>
            <c:numRef>
              <c:f>Plan1!$B$2:$B$9</c:f>
              <c:numCache>
                <c:formatCode>General</c:formatCode>
                <c:ptCount val="8"/>
                <c:pt idx="0">
                  <c:v>9</c:v>
                </c:pt>
                <c:pt idx="1">
                  <c:v>4</c:v>
                </c:pt>
                <c:pt idx="2">
                  <c:v>10</c:v>
                </c:pt>
                <c:pt idx="3">
                  <c:v>6</c:v>
                </c:pt>
                <c:pt idx="4">
                  <c:v>71</c:v>
                </c:pt>
                <c:pt idx="5">
                  <c:v>11</c:v>
                </c:pt>
                <c:pt idx="6">
                  <c:v>10</c:v>
                </c:pt>
                <c:pt idx="7">
                  <c:v>121</c:v>
                </c:pt>
              </c:numCache>
            </c:numRef>
          </c:val>
        </c:ser>
        <c:axId val="95412608"/>
        <c:axId val="95414144"/>
      </c:barChart>
      <c:catAx>
        <c:axId val="95412608"/>
        <c:scaling>
          <c:orientation val="minMax"/>
        </c:scaling>
        <c:axPos val="b"/>
        <c:tickLblPos val="nextTo"/>
        <c:crossAx val="95414144"/>
        <c:crosses val="autoZero"/>
        <c:auto val="1"/>
        <c:lblAlgn val="ctr"/>
        <c:lblOffset val="100"/>
      </c:catAx>
      <c:valAx>
        <c:axId val="95414144"/>
        <c:scaling>
          <c:orientation val="minMax"/>
        </c:scaling>
        <c:delete val="1"/>
        <c:axPos val="l"/>
        <c:numFmt formatCode="General" sourceLinked="1"/>
        <c:tickLblPos val="none"/>
        <c:crossAx val="95412608"/>
        <c:crosses val="autoZero"/>
        <c:crossBetween val="between"/>
      </c:valAx>
    </c:plotArea>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Uso Racional de Medicamentos - Agosto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0.93</c:v>
                </c:pt>
                <c:pt idx="1">
                  <c:v>0.8</c:v>
                </c:pt>
              </c:numCache>
            </c:numRef>
          </c:val>
        </c:ser>
        <c:axId val="97904128"/>
        <c:axId val="97905664"/>
      </c:barChart>
      <c:catAx>
        <c:axId val="97904128"/>
        <c:scaling>
          <c:orientation val="minMax"/>
        </c:scaling>
        <c:axPos val="b"/>
        <c:tickLblPos val="nextTo"/>
        <c:crossAx val="97905664"/>
        <c:crosses val="autoZero"/>
        <c:auto val="1"/>
        <c:lblAlgn val="ctr"/>
        <c:lblOffset val="100"/>
      </c:catAx>
      <c:valAx>
        <c:axId val="97905664"/>
        <c:scaling>
          <c:orientation val="minMax"/>
        </c:scaling>
        <c:delete val="1"/>
        <c:axPos val="l"/>
        <c:numFmt formatCode="0%" sourceLinked="1"/>
        <c:tickLblPos val="none"/>
        <c:crossAx val="97904128"/>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Avaliações de Reações Adversas a Medicamentos quanto à gravidade - Agosto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1</c:v>
                </c:pt>
                <c:pt idx="1">
                  <c:v>0.7</c:v>
                </c:pt>
              </c:numCache>
            </c:numRef>
          </c:val>
        </c:ser>
        <c:axId val="99318400"/>
        <c:axId val="99324288"/>
      </c:barChart>
      <c:catAx>
        <c:axId val="99318400"/>
        <c:scaling>
          <c:orientation val="minMax"/>
        </c:scaling>
        <c:axPos val="b"/>
        <c:tickLblPos val="nextTo"/>
        <c:crossAx val="99324288"/>
        <c:crosses val="autoZero"/>
        <c:auto val="1"/>
        <c:lblAlgn val="ctr"/>
        <c:lblOffset val="100"/>
      </c:catAx>
      <c:valAx>
        <c:axId val="99324288"/>
        <c:scaling>
          <c:orientation val="minMax"/>
        </c:scaling>
        <c:delete val="1"/>
        <c:axPos val="l"/>
        <c:numFmt formatCode="0%" sourceLinked="1"/>
        <c:tickLblPos val="none"/>
        <c:crossAx val="9931840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Internações</a:t>
            </a:r>
            <a:r>
              <a:rPr lang="en-US" baseline="0"/>
              <a:t> - Saídas Faturadas </a:t>
            </a:r>
          </a:p>
          <a:p>
            <a:pPr>
              <a:defRPr/>
            </a:pPr>
            <a:r>
              <a:rPr lang="en-US" baseline="0"/>
              <a:t>Agosto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dLbl>
              <c:idx val="1"/>
              <c:delete val="1"/>
            </c:dLbl>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197</c:v>
                </c:pt>
                <c:pt idx="1">
                  <c:v>42</c:v>
                </c:pt>
                <c:pt idx="2">
                  <c:v>239</c:v>
                </c:pt>
                <c:pt idx="3">
                  <c:v>230</c:v>
                </c:pt>
              </c:numCache>
            </c:numRef>
          </c:val>
        </c:ser>
        <c:axId val="97266688"/>
        <c:axId val="97272576"/>
      </c:barChart>
      <c:catAx>
        <c:axId val="97266688"/>
        <c:scaling>
          <c:orientation val="minMax"/>
        </c:scaling>
        <c:axPos val="b"/>
        <c:tickLblPos val="nextTo"/>
        <c:crossAx val="97272576"/>
        <c:crosses val="autoZero"/>
        <c:auto val="1"/>
        <c:lblAlgn val="ctr"/>
        <c:lblOffset val="100"/>
      </c:catAx>
      <c:valAx>
        <c:axId val="97272576"/>
        <c:scaling>
          <c:orientation val="minMax"/>
        </c:scaling>
        <c:delete val="1"/>
        <c:axPos val="l"/>
        <c:numFmt formatCode="General" sourceLinked="1"/>
        <c:tickLblPos val="none"/>
        <c:crossAx val="97266688"/>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Agosto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dLbl>
              <c:idx val="1"/>
              <c:layout/>
              <c:tx>
                <c:rich>
                  <a:bodyPr/>
                  <a:lstStyle/>
                  <a:p>
                    <a:r>
                      <a:rPr lang="en-US"/>
                      <a:t>200</a:t>
                    </a:r>
                  </a:p>
                </c:rich>
              </c:tx>
              <c:showVal val="1"/>
            </c:dLbl>
            <c:showVal val="1"/>
          </c:dLbls>
          <c:cat>
            <c:strRef>
              <c:f>Plan1!$A$2:$A$3</c:f>
              <c:strCache>
                <c:ptCount val="2"/>
                <c:pt idx="0">
                  <c:v>Atendimentos </c:v>
                </c:pt>
                <c:pt idx="1">
                  <c:v>Meta Contratual </c:v>
                </c:pt>
              </c:strCache>
            </c:strRef>
          </c:cat>
          <c:val>
            <c:numRef>
              <c:f>Plan1!$B$2:$B$3</c:f>
              <c:numCache>
                <c:formatCode>General</c:formatCode>
                <c:ptCount val="2"/>
                <c:pt idx="0">
                  <c:v>33</c:v>
                </c:pt>
                <c:pt idx="1">
                  <c:v>200</c:v>
                </c:pt>
              </c:numCache>
            </c:numRef>
          </c:val>
        </c:ser>
        <c:axId val="97309440"/>
        <c:axId val="97310976"/>
      </c:barChart>
      <c:catAx>
        <c:axId val="97309440"/>
        <c:scaling>
          <c:orientation val="minMax"/>
        </c:scaling>
        <c:axPos val="b"/>
        <c:tickLblPos val="nextTo"/>
        <c:crossAx val="97310976"/>
        <c:crosses val="autoZero"/>
        <c:auto val="1"/>
        <c:lblAlgn val="ctr"/>
        <c:lblOffset val="100"/>
      </c:catAx>
      <c:valAx>
        <c:axId val="97310976"/>
        <c:scaling>
          <c:orientation val="minMax"/>
        </c:scaling>
        <c:delete val="1"/>
        <c:axPos val="l"/>
        <c:numFmt formatCode="General" sourceLinked="1"/>
        <c:tickLblPos val="none"/>
        <c:crossAx val="9730944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sz="1800" b="1" i="0" u="none" strike="noStrike" baseline="0"/>
              <a:t>Procedimentos Cirúrgicos e Não Cirúrgicos </a:t>
            </a:r>
          </a:p>
          <a:p>
            <a:pPr>
              <a:defRPr/>
            </a:pPr>
            <a:r>
              <a:rPr lang="en-US" baseline="0"/>
              <a:t>Agosto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27</c:v>
                </c:pt>
                <c:pt idx="1">
                  <c:v>16</c:v>
                </c:pt>
                <c:pt idx="2">
                  <c:v>19</c:v>
                </c:pt>
                <c:pt idx="3">
                  <c:v>11</c:v>
                </c:pt>
                <c:pt idx="4">
                  <c:v>2</c:v>
                </c:pt>
                <c:pt idx="5">
                  <c:v>10</c:v>
                </c:pt>
                <c:pt idx="6">
                  <c:v>85</c:v>
                </c:pt>
              </c:numCache>
            </c:numRef>
          </c:val>
        </c:ser>
        <c:axId val="97606656"/>
        <c:axId val="97616640"/>
      </c:barChart>
      <c:catAx>
        <c:axId val="97606656"/>
        <c:scaling>
          <c:orientation val="minMax"/>
        </c:scaling>
        <c:axPos val="b"/>
        <c:tickLblPos val="nextTo"/>
        <c:txPr>
          <a:bodyPr/>
          <a:lstStyle/>
          <a:p>
            <a:pPr>
              <a:defRPr sz="800"/>
            </a:pPr>
            <a:endParaRPr lang="pt-BR"/>
          </a:p>
        </c:txPr>
        <c:crossAx val="97616640"/>
        <c:crosses val="autoZero"/>
        <c:auto val="1"/>
        <c:lblAlgn val="ctr"/>
        <c:lblOffset val="100"/>
      </c:catAx>
      <c:valAx>
        <c:axId val="97616640"/>
        <c:scaling>
          <c:orientation val="minMax"/>
        </c:scaling>
        <c:delete val="1"/>
        <c:axPos val="l"/>
        <c:numFmt formatCode="General" sourceLinked="1"/>
        <c:tickLblPos val="none"/>
        <c:crossAx val="9760665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 Ambulatorial </a:t>
            </a:r>
          </a:p>
          <a:p>
            <a:pPr>
              <a:defRPr/>
            </a:pPr>
            <a:r>
              <a:rPr lang="en-US" baseline="0"/>
              <a:t>Agosto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1933</c:v>
                </c:pt>
                <c:pt idx="1">
                  <c:v>328</c:v>
                </c:pt>
                <c:pt idx="2" formatCode="#,##0">
                  <c:v>2261</c:v>
                </c:pt>
                <c:pt idx="3" formatCode="#,##0">
                  <c:v>1050</c:v>
                </c:pt>
              </c:numCache>
            </c:numRef>
          </c:val>
        </c:ser>
        <c:axId val="97743616"/>
        <c:axId val="97745152"/>
      </c:barChart>
      <c:catAx>
        <c:axId val="97743616"/>
        <c:scaling>
          <c:orientation val="minMax"/>
        </c:scaling>
        <c:axPos val="b"/>
        <c:tickLblPos val="nextTo"/>
        <c:crossAx val="97745152"/>
        <c:crosses val="autoZero"/>
        <c:auto val="1"/>
        <c:lblAlgn val="ctr"/>
        <c:lblOffset val="100"/>
      </c:catAx>
      <c:valAx>
        <c:axId val="97745152"/>
        <c:scaling>
          <c:orientation val="minMax"/>
        </c:scaling>
        <c:delete val="1"/>
        <c:axPos val="l"/>
        <c:numFmt formatCode="#,##0" sourceLinked="1"/>
        <c:tickLblPos val="none"/>
        <c:crossAx val="9774361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SADT</a:t>
            </a:r>
          </a:p>
          <a:p>
            <a:pPr>
              <a:defRPr/>
            </a:pPr>
            <a:r>
              <a:rPr lang="en-US" baseline="0"/>
              <a:t>Agosto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General</c:formatCode>
                <c:ptCount val="9"/>
                <c:pt idx="0" formatCode="#,##0">
                  <c:v>23141</c:v>
                </c:pt>
                <c:pt idx="1">
                  <c:v>1027</c:v>
                </c:pt>
                <c:pt idx="2">
                  <c:v>29</c:v>
                </c:pt>
                <c:pt idx="3">
                  <c:v>18</c:v>
                </c:pt>
                <c:pt idx="4">
                  <c:v>29</c:v>
                </c:pt>
                <c:pt idx="5">
                  <c:v>16</c:v>
                </c:pt>
                <c:pt idx="6">
                  <c:v>9</c:v>
                </c:pt>
                <c:pt idx="7">
                  <c:v>4</c:v>
                </c:pt>
                <c:pt idx="8" formatCode="#,##0">
                  <c:v>24273</c:v>
                </c:pt>
              </c:numCache>
            </c:numRef>
          </c:val>
        </c:ser>
        <c:axId val="97778688"/>
        <c:axId val="97653504"/>
      </c:barChart>
      <c:catAx>
        <c:axId val="97778688"/>
        <c:scaling>
          <c:orientation val="minMax"/>
        </c:scaling>
        <c:axPos val="b"/>
        <c:tickLblPos val="nextTo"/>
        <c:txPr>
          <a:bodyPr/>
          <a:lstStyle/>
          <a:p>
            <a:pPr>
              <a:defRPr sz="800"/>
            </a:pPr>
            <a:endParaRPr lang="pt-BR"/>
          </a:p>
        </c:txPr>
        <c:crossAx val="97653504"/>
        <c:crosses val="autoZero"/>
        <c:auto val="1"/>
        <c:lblAlgn val="ctr"/>
        <c:lblOffset val="100"/>
      </c:catAx>
      <c:valAx>
        <c:axId val="97653504"/>
        <c:scaling>
          <c:orientation val="minMax"/>
        </c:scaling>
        <c:delete val="1"/>
        <c:axPos val="l"/>
        <c:numFmt formatCode="#,##0" sourceLinked="1"/>
        <c:tickLblPos val="none"/>
        <c:crossAx val="97778688"/>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Taxa de Ocupação Hospitalar</a:t>
            </a:r>
          </a:p>
          <a:p>
            <a:pPr>
              <a:defRPr/>
            </a:pPr>
            <a:r>
              <a:rPr lang="en-US" baseline="0"/>
              <a:t>Agosto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0.88</c:v>
                </c:pt>
                <c:pt idx="1">
                  <c:v>0.8500000000000002</c:v>
                </c:pt>
              </c:numCache>
            </c:numRef>
          </c:val>
        </c:ser>
        <c:axId val="97698944"/>
        <c:axId val="97700480"/>
      </c:barChart>
      <c:catAx>
        <c:axId val="97698944"/>
        <c:scaling>
          <c:orientation val="minMax"/>
        </c:scaling>
        <c:axPos val="b"/>
        <c:tickLblPos val="nextTo"/>
        <c:crossAx val="97700480"/>
        <c:crosses val="autoZero"/>
        <c:auto val="1"/>
        <c:lblAlgn val="ctr"/>
        <c:lblOffset val="100"/>
      </c:catAx>
      <c:valAx>
        <c:axId val="97700480"/>
        <c:scaling>
          <c:orientation val="minMax"/>
        </c:scaling>
        <c:delete val="1"/>
        <c:axPos val="l"/>
        <c:numFmt formatCode="0%" sourceLinked="1"/>
        <c:tickLblPos val="none"/>
        <c:crossAx val="97698944"/>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Média de Permanência Hospitalar (em dias) - Agosto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11</c:v>
                </c:pt>
                <c:pt idx="1">
                  <c:v>10</c:v>
                </c:pt>
              </c:numCache>
            </c:numRef>
          </c:val>
        </c:ser>
        <c:axId val="97823360"/>
        <c:axId val="97829248"/>
      </c:barChart>
      <c:catAx>
        <c:axId val="97823360"/>
        <c:scaling>
          <c:orientation val="minMax"/>
        </c:scaling>
        <c:axPos val="b"/>
        <c:tickLblPos val="nextTo"/>
        <c:crossAx val="97829248"/>
        <c:crosses val="autoZero"/>
        <c:auto val="1"/>
        <c:lblAlgn val="ctr"/>
        <c:lblOffset val="100"/>
      </c:catAx>
      <c:valAx>
        <c:axId val="97829248"/>
        <c:scaling>
          <c:orientation val="minMax"/>
        </c:scaling>
        <c:delete val="1"/>
        <c:axPos val="l"/>
        <c:numFmt formatCode="0" sourceLinked="1"/>
        <c:tickLblPos val="none"/>
        <c:crossAx val="9782336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Agosto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37.9</c:v>
                </c:pt>
                <c:pt idx="1">
                  <c:v>43</c:v>
                </c:pt>
              </c:numCache>
            </c:numRef>
          </c:val>
        </c:ser>
        <c:axId val="97841536"/>
        <c:axId val="97843072"/>
      </c:barChart>
      <c:catAx>
        <c:axId val="97841536"/>
        <c:scaling>
          <c:orientation val="minMax"/>
        </c:scaling>
        <c:axPos val="b"/>
        <c:tickLblPos val="nextTo"/>
        <c:crossAx val="97843072"/>
        <c:crosses val="autoZero"/>
        <c:auto val="1"/>
        <c:lblAlgn val="ctr"/>
        <c:lblOffset val="100"/>
      </c:catAx>
      <c:valAx>
        <c:axId val="97843072"/>
        <c:scaling>
          <c:orientation val="minMax"/>
        </c:scaling>
        <c:delete val="1"/>
        <c:axPos val="l"/>
        <c:numFmt formatCode="0" sourceLinked="1"/>
        <c:tickLblPos val="none"/>
        <c:crossAx val="97841536"/>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0.17533</cdr:x>
      <cdr:y>0.76119</cdr:y>
    </cdr:from>
    <cdr:to>
      <cdr:x>0.21991</cdr:x>
      <cdr:y>0.87687</cdr:y>
    </cdr:to>
    <cdr:sp macro="" textlink="">
      <cdr:nvSpPr>
        <cdr:cNvPr id="2" name="CaixaDeTexto 1"/>
        <cdr:cNvSpPr txBox="1"/>
      </cdr:nvSpPr>
      <cdr:spPr>
        <a:xfrm xmlns:a="http://schemas.openxmlformats.org/drawingml/2006/main">
          <a:off x="1123951" y="1943100"/>
          <a:ext cx="2857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4</a:t>
          </a:r>
        </a:p>
      </cdr:txBody>
    </cdr:sp>
  </cdr:relSizeAnchor>
</c:userShapes>
</file>

<file path=word/drawings/drawing2.xml><?xml version="1.0" encoding="utf-8"?>
<c:userShapes xmlns:c="http://schemas.openxmlformats.org/drawingml/2006/chart">
  <cdr:relSizeAnchor xmlns:cdr="http://schemas.openxmlformats.org/drawingml/2006/chartDrawing">
    <cdr:from>
      <cdr:x>0.33667</cdr:x>
      <cdr:y>0.70522</cdr:y>
    </cdr:from>
    <cdr:to>
      <cdr:x>0.50501</cdr:x>
      <cdr:y>1</cdr:y>
    </cdr:to>
    <cdr:sp macro="" textlink="">
      <cdr:nvSpPr>
        <cdr:cNvPr id="2" name="CaixaDeTexto 1"/>
        <cdr:cNvSpPr txBox="1"/>
      </cdr:nvSpPr>
      <cdr:spPr>
        <a:xfrm xmlns:a="http://schemas.openxmlformats.org/drawingml/2006/main">
          <a:off x="1600201" y="1800225"/>
          <a:ext cx="800099" cy="7524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000"/>
            <a:t>42</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9540E"/>
    <w:rsid w:val="0029540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9A526A69FE5D4DAE8726F430D31CCD20">
    <w:name w:val="9A526A69FE5D4DAE8726F430D31CCD20"/>
    <w:rsid w:val="0029540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5049A-EF98-4416-A71E-E6CD8B317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20</Pages>
  <Words>2613</Words>
  <Characters>14116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16696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5</cp:revision>
  <cp:lastPrinted>2019-10-15T20:20:00Z</cp:lastPrinted>
  <dcterms:created xsi:type="dcterms:W3CDTF">2020-09-08T19:43:00Z</dcterms:created>
  <dcterms:modified xsi:type="dcterms:W3CDTF">2020-09-14T11:54:00Z</dcterms:modified>
</cp:coreProperties>
</file>