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E" w:rsidRPr="006B5F47" w:rsidRDefault="005130EE" w:rsidP="00B869B0">
      <w:pPr>
        <w:spacing w:after="0" w:line="360" w:lineRule="auto"/>
        <w:rPr>
          <w:rFonts w:ascii="Arial" w:hAnsi="Arial" w:cs="Arial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B2EF5" w:rsidRPr="006B5F47" w:rsidRDefault="00F06204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163195</wp:posOffset>
                </wp:positionV>
                <wp:extent cx="5924550" cy="65341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1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0F19" w:rsidRPr="006B5F47" w:rsidRDefault="004F0F19" w:rsidP="00F87A2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5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HOSPITAL ESTADUAL DE DOENÇAS TROPICAIS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DR. ANUAR AUAD - HDT</w:t>
                            </w:r>
                          </w:p>
                          <w:p w:rsidR="004F0F19" w:rsidRDefault="004F0F19" w:rsidP="00F87A2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0F19" w:rsidRPr="00652B0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652B0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º Termo Aditivo ao Contrato de Gestão nº091/2012</w:t>
                            </w:r>
                          </w:p>
                          <w:p w:rsidR="004F0F1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0F1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0F1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0F1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0F19" w:rsidRPr="00F87A2C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87A2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GERENCIAL DE PRODUÇÃO</w:t>
                            </w:r>
                          </w:p>
                          <w:p w:rsidR="004F0F19" w:rsidRPr="00652B0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0F1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F0F19" w:rsidRPr="00652B09" w:rsidRDefault="004F0F19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Referência: Fevereiro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pt;margin-top:12.85pt;width:466.5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">
                <v:textbox>
                  <w:txbxContent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F0F19" w:rsidRPr="006B5F47" w:rsidRDefault="004F0F19" w:rsidP="00F87A2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B5F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HOSPITAL ESTADUAL DE DOENÇAS TROPICAIS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DR. ANUAR AUAD - HDT</w:t>
                      </w:r>
                    </w:p>
                    <w:p w:rsidR="004F0F19" w:rsidRDefault="004F0F19" w:rsidP="00F87A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F0F19" w:rsidRPr="00652B09" w:rsidRDefault="004F0F19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</w:t>
                      </w:r>
                      <w:r w:rsidRPr="00652B0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º Termo Aditivo ao Contrato de Gestão nº091/2012</w:t>
                      </w: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Pr="00F87A2C" w:rsidRDefault="004F0F19" w:rsidP="00F87A2C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F87A2C"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RELATÓRIO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>GERENCIAL DE PRODUÇÃO</w:t>
                      </w:r>
                    </w:p>
                    <w:p w:rsidR="004F0F19" w:rsidRPr="00652B0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Pr="00652B0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Referência: Fevereiro de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502A30" w:rsidRDefault="00502A30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DIRETORIA CORPORATIVA INSTITUTO SÓCRATES GUANAES –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André Mansur de Carvalho Guanaes Gomes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Fundador e Diretor-Presidente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A60FC">
        <w:rPr>
          <w:rFonts w:ascii="Arial" w:hAnsi="Arial" w:cs="Arial"/>
        </w:rPr>
        <w:t>Terêncio</w:t>
      </w:r>
      <w:proofErr w:type="spellEnd"/>
      <w:r w:rsidRPr="000A60FC">
        <w:rPr>
          <w:rFonts w:ascii="Arial" w:hAnsi="Arial" w:cs="Arial"/>
        </w:rPr>
        <w:t xml:space="preserve"> </w:t>
      </w:r>
      <w:proofErr w:type="spellStart"/>
      <w:r w:rsidRPr="000A60FC">
        <w:rPr>
          <w:rFonts w:ascii="Arial" w:hAnsi="Arial" w:cs="Arial"/>
        </w:rPr>
        <w:t>Sant’ana</w:t>
      </w:r>
      <w:proofErr w:type="spellEnd"/>
      <w:r w:rsidRPr="000A60FC">
        <w:rPr>
          <w:rFonts w:ascii="Arial" w:hAnsi="Arial" w:cs="Arial"/>
        </w:rPr>
        <w:t xml:space="preserve">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Financeiro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José Maria da Costa Orlando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Técnico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Aline Oliveira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60FC">
        <w:rPr>
          <w:rFonts w:ascii="Arial" w:hAnsi="Arial" w:cs="Arial"/>
        </w:rPr>
        <w:t>Diretora Administrativa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ESTRUTURA GESTORA DO HDT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Bruno Almeida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Diretor Geral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Dra. Fernanda Pedrosa Torres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Diretora Técnica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Camilla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Operacional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Antônio Jorge Maciel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Administrativo</w:t>
      </w:r>
    </w:p>
    <w:p w:rsidR="001D044B" w:rsidRPr="000A60FC" w:rsidRDefault="001D044B" w:rsidP="001D044B">
      <w:pPr>
        <w:rPr>
          <w:rFonts w:ascii="Times New Roman" w:eastAsia="Times New Roman" w:hAnsi="Times New Roman" w:cs="Times New Roman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Gabriela Alvares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Assessora da Diretora Técnica</w:t>
      </w:r>
    </w:p>
    <w:p w:rsidR="00F87A2C" w:rsidRDefault="00F87A2C" w:rsidP="00B869B0">
      <w:pPr>
        <w:spacing w:after="0" w:line="360" w:lineRule="auto"/>
        <w:rPr>
          <w:rFonts w:ascii="Arial" w:hAnsi="Arial" w:cs="Arial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8630659"/>
        <w:docPartObj>
          <w:docPartGallery w:val="Table of Contents"/>
          <w:docPartUnique/>
        </w:docPartObj>
      </w:sdtPr>
      <w:sdtContent>
        <w:p w:rsidR="00D46358" w:rsidRDefault="00D46358" w:rsidP="00D46358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D46358">
            <w:rPr>
              <w:rFonts w:ascii="Arial" w:hAnsi="Arial" w:cs="Arial"/>
              <w:color w:val="auto"/>
            </w:rPr>
            <w:t>Sumário</w:t>
          </w:r>
        </w:p>
        <w:p w:rsidR="00D46358" w:rsidRPr="00D46358" w:rsidRDefault="00D46358" w:rsidP="00D46358"/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>APRESENTAÇÃO</w:t>
          </w:r>
          <w:r>
            <w:ptab w:relativeTo="margin" w:alignment="right" w:leader="dot"/>
          </w:r>
          <w:r>
            <w:rPr>
              <w:b/>
            </w:rPr>
            <w:t>4</w:t>
          </w:r>
        </w:p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 xml:space="preserve">IDENTIFICAÇÃO DA UNIDADE </w:t>
          </w:r>
          <w:r>
            <w:ptab w:relativeTo="margin" w:alignment="right" w:leader="dot"/>
          </w:r>
          <w:r>
            <w:rPr>
              <w:b/>
            </w:rPr>
            <w:t>5</w:t>
          </w:r>
        </w:p>
        <w:p w:rsidR="00D46358" w:rsidRPr="00D46358" w:rsidRDefault="00D46358" w:rsidP="00D46358">
          <w:pPr>
            <w:pStyle w:val="Sumrio2"/>
            <w:numPr>
              <w:ilvl w:val="0"/>
              <w:numId w:val="22"/>
            </w:numPr>
          </w:pPr>
          <w:r>
            <w:rPr>
              <w:b/>
            </w:rPr>
            <w:t xml:space="preserve">METAS DE PRODUÇÃO E RESULTADOS ALCANÇADOS </w:t>
          </w:r>
          <w:r>
            <w:ptab w:relativeTo="margin" w:alignment="right" w:leader="dot"/>
          </w:r>
          <w:r w:rsidR="00DE09B9">
            <w:rPr>
              <w:b/>
            </w:rPr>
            <w:t>7</w:t>
          </w:r>
        </w:p>
        <w:p w:rsidR="00D46358" w:rsidRDefault="00D46358" w:rsidP="00D46358">
          <w:pPr>
            <w:pStyle w:val="Sumrio2"/>
            <w:numPr>
              <w:ilvl w:val="0"/>
              <w:numId w:val="22"/>
            </w:numPr>
            <w:rPr>
              <w:b/>
            </w:rPr>
          </w:pPr>
          <w:r>
            <w:rPr>
              <w:b/>
            </w:rPr>
            <w:t xml:space="preserve">METAS DE DESEMPENHO E RESULTADOS ALCANÇADOS </w:t>
          </w:r>
          <w:r>
            <w:ptab w:relativeTo="margin" w:alignment="right" w:leader="dot"/>
          </w:r>
          <w:r w:rsidR="00DE09B9">
            <w:rPr>
              <w:b/>
            </w:rPr>
            <w:t>10</w:t>
          </w:r>
        </w:p>
        <w:p w:rsidR="00D46358" w:rsidRPr="00D46358" w:rsidRDefault="00D46358" w:rsidP="00D46358"/>
        <w:p w:rsidR="00D46358" w:rsidRDefault="00D46358" w:rsidP="00D46358">
          <w:pPr>
            <w:pStyle w:val="Sumrio2"/>
            <w:ind w:left="720"/>
          </w:pPr>
        </w:p>
        <w:p w:rsidR="00D46358" w:rsidRDefault="008C3105">
          <w:pPr>
            <w:pStyle w:val="Sumrio3"/>
            <w:ind w:left="446"/>
          </w:pPr>
        </w:p>
      </w:sdtContent>
    </w:sdt>
    <w:p w:rsidR="007F6363" w:rsidRPr="006B5F47" w:rsidRDefault="007F6363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634BD9" w:rsidRPr="006B5F47" w:rsidRDefault="00634BD9" w:rsidP="00B869B0">
      <w:pPr>
        <w:spacing w:after="0" w:line="360" w:lineRule="auto"/>
        <w:rPr>
          <w:rFonts w:ascii="Arial" w:hAnsi="Arial" w:cs="Arial"/>
        </w:rPr>
        <w:sectPr w:rsidR="00634BD9" w:rsidRPr="006B5F47" w:rsidSect="009B3F62">
          <w:headerReference w:type="default" r:id="rId9"/>
          <w:pgSz w:w="11906" w:h="16838"/>
          <w:pgMar w:top="1701" w:right="1134" w:bottom="1134" w:left="1701" w:header="708" w:footer="708" w:gutter="0"/>
          <w:pgNumType w:start="2"/>
          <w:cols w:space="708"/>
          <w:docGrid w:linePitch="360"/>
        </w:sectPr>
      </w:pPr>
    </w:p>
    <w:p w:rsidR="008D29B1" w:rsidRPr="006B5F47" w:rsidRDefault="008D29B1" w:rsidP="00F87A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961BB" w:rsidRPr="00D46358" w:rsidRDefault="005961BB" w:rsidP="00F87A2C">
      <w:pPr>
        <w:pStyle w:val="NormalWeb"/>
        <w:numPr>
          <w:ilvl w:val="0"/>
          <w:numId w:val="18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D46358">
        <w:rPr>
          <w:rFonts w:ascii="Arial" w:hAnsi="Arial" w:cs="Arial"/>
          <w:b/>
        </w:rPr>
        <w:t>APRESENTAÇÃO</w:t>
      </w:r>
    </w:p>
    <w:p w:rsidR="005961BB" w:rsidRPr="000A60FC" w:rsidRDefault="005961BB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O Hospital Estadual de Doenças</w:t>
      </w:r>
      <w:r w:rsidRPr="00A565DF">
        <w:rPr>
          <w:rFonts w:ascii="Arial" w:hAnsi="Arial" w:cs="Arial"/>
          <w:sz w:val="24"/>
          <w:szCs w:val="24"/>
        </w:rPr>
        <w:t xml:space="preserve">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– HDT é uma unidade de Ensino, Pesquisa e Extensão Universitária, referência no estado de Goiás para doenças infectocontagiosas e dermatológicas.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Desde julho de 2012, após o contrato celebrado entre o estado de Goiás, por intermédio da Secretaria De Estado da Saúde, e o Instituto Sócrates Guanaes – ISG, o HDT é gerido por esta organização social que passou a ser responsável pelo gerenciamento, operacionalização e execução das ações e serviços de saúde da unidade.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Nossa missão é garantir a assistência segura ao paciente em infectologia e dermatologia com qualidade, eficiência e excelência, promovendo conhecimento científico, trazendo como valores: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Acolhimento e respeito a todos os usuários;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Gestão inovadora;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Ética e confiabilidade;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Comunicação e transparência;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Qualidade e segurança;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Sustentabilidade econômica e ambiental;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Entusiasmo e espírito de equipe.</w:t>
      </w:r>
    </w:p>
    <w:p w:rsidR="005961BB" w:rsidRPr="00A565DF" w:rsidRDefault="005961BB" w:rsidP="006F0F94">
      <w:pPr>
        <w:pStyle w:val="PargrafodaLista"/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Para fins de prestação de contas junto à sociedade e ao poder público, e em consonância com o </w:t>
      </w: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Contrato de Gestão nº 091/2012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e seus aditivos, este relatório apresenta informações necessárias para que a SES-GO analise o desempenho das atividades do HDT.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Os dados que serão </w:t>
      </w:r>
      <w:r w:rsidRPr="00A565DF">
        <w:rPr>
          <w:rFonts w:ascii="Arial" w:hAnsi="Arial" w:cs="Arial"/>
          <w:sz w:val="24"/>
          <w:szCs w:val="24"/>
        </w:rPr>
        <w:t xml:space="preserve">apresentados foram extraídos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do banco de dados do sistema de gestão hospitalar interno, do Banco de Indicadores Hospitalares do HDT, além dos </w:t>
      </w:r>
      <w:r w:rsidRPr="00A565DF">
        <w:rPr>
          <w:rFonts w:ascii="Arial" w:hAnsi="Arial" w:cs="Arial"/>
          <w:sz w:val="24"/>
          <w:szCs w:val="24"/>
        </w:rPr>
        <w:t>censos estatísticos elaborados pelos colaboradores responsáveis de cada serviço,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sendo submetidos à análise criteriosa que permite fundamentar e nortear decisões. </w:t>
      </w:r>
    </w:p>
    <w:p w:rsidR="005961BB" w:rsidRPr="00A565DF" w:rsidRDefault="005961BB" w:rsidP="00F87A2C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lastRenderedPageBreak/>
        <w:t xml:space="preserve">IDENTIFICAÇÃO DA UNIDADE </w:t>
      </w:r>
    </w:p>
    <w:p w:rsidR="005961BB" w:rsidRPr="00A565DF" w:rsidRDefault="005961BB" w:rsidP="00F87A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>Nome:</w:t>
      </w:r>
      <w:r w:rsidRPr="00A565DF">
        <w:rPr>
          <w:rFonts w:ascii="Arial" w:hAnsi="Arial" w:cs="Arial"/>
          <w:sz w:val="24"/>
          <w:szCs w:val="24"/>
        </w:rPr>
        <w:t xml:space="preserve"> Hospital Estadual de Doenças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- HDT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CNES: </w:t>
      </w:r>
      <w:r w:rsidRPr="00A565DF">
        <w:rPr>
          <w:rFonts w:ascii="Arial" w:hAnsi="Arial" w:cs="Arial"/>
          <w:sz w:val="24"/>
          <w:szCs w:val="24"/>
        </w:rPr>
        <w:t>2506661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Endereço: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Alameda do Contorno, 3556 - </w:t>
      </w:r>
      <w:proofErr w:type="gramStart"/>
      <w:r w:rsidRPr="00A565DF">
        <w:rPr>
          <w:rFonts w:ascii="Arial" w:hAnsi="Arial" w:cs="Arial"/>
          <w:sz w:val="24"/>
          <w:szCs w:val="24"/>
          <w:shd w:val="clear" w:color="auto" w:fill="FFFFFF"/>
        </w:rPr>
        <w:t>Jardim Bela</w:t>
      </w:r>
      <w:proofErr w:type="gramEnd"/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Vista, Goiânia - GO, 74850-400.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Gerência da Unidade: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Instituto Sócrates Guanaes (ISG) – Contrato de Gestão nº 091/2012.</w:t>
      </w:r>
    </w:p>
    <w:p w:rsidR="005961BB" w:rsidRPr="00A565DF" w:rsidRDefault="005961BB" w:rsidP="00F87A2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t>ATIVIDADES REALIZADAS PELO HDT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F87A2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 ASSISTÊNCIA HOSPITALAR - INTERNAÇÃO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assistência à saúde prestada em regime de hospitalização compreende o conjunto de atendimentos oferecidos ao paciente desde a sua admissão no hospital até sua alta hospitalar.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Os pacientes internados recebem atendimento clínico adequado às suas necessidades, incluindo assistência médica e multiprofissional, além de procedimentos necessários para obter ou completar o diagnóstico e as terapêuticas.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Diante da Declaração da Organização Mundial de Saúde – OMS, em 11 de março de 2020, que decretou situação de pandemia no que se refere à infecção pelo novo </w:t>
      </w:r>
      <w:proofErr w:type="spellStart"/>
      <w:r w:rsidRPr="00A565DF">
        <w:rPr>
          <w:rFonts w:ascii="Arial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, o HDT instituiu ações em cumprimento </w:t>
      </w:r>
      <w:proofErr w:type="gramStart"/>
      <w:r w:rsidRPr="00A565DF">
        <w:rPr>
          <w:rFonts w:ascii="Arial" w:hAnsi="Arial" w:cs="Arial"/>
          <w:sz w:val="24"/>
          <w:szCs w:val="24"/>
        </w:rPr>
        <w:t>à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todas as determinações e orientações do Governo do Estado, por meio da Secretaria de Estado de Saúde de Goiás, e Governo Municipal, por meio da Secretaria Municipal da Saúde de Goiânia. </w:t>
      </w:r>
    </w:p>
    <w:p w:rsidR="005961BB" w:rsidRPr="00A565DF" w:rsidRDefault="005961BB" w:rsidP="006F0F94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 Julho de 2020, </w:t>
      </w:r>
      <w:r w:rsidRPr="00A565DF">
        <w:rPr>
          <w:rFonts w:ascii="Arial" w:eastAsia="Times New Roman" w:hAnsi="Arial" w:cs="Arial"/>
          <w:sz w:val="24"/>
          <w:szCs w:val="24"/>
        </w:rPr>
        <w:t xml:space="preserve">introduziu-se </w:t>
      </w:r>
      <w:r w:rsidRPr="00A565DF">
        <w:rPr>
          <w:rFonts w:ascii="Arial" w:hAnsi="Arial" w:cs="Arial"/>
          <w:sz w:val="24"/>
          <w:szCs w:val="24"/>
        </w:rPr>
        <w:t xml:space="preserve">no HDT </w:t>
      </w:r>
      <w:r w:rsidRPr="00A565DF">
        <w:rPr>
          <w:rFonts w:ascii="Arial" w:eastAsia="Times New Roman" w:hAnsi="Arial" w:cs="Arial"/>
          <w:sz w:val="24"/>
          <w:szCs w:val="24"/>
        </w:rPr>
        <w:t>o Projeto Especial e Transitório para Implantaç</w:t>
      </w:r>
      <w:r w:rsidRPr="00A565DF">
        <w:rPr>
          <w:rFonts w:ascii="Arial" w:hAnsi="Arial" w:cs="Arial"/>
          <w:sz w:val="24"/>
          <w:szCs w:val="24"/>
        </w:rPr>
        <w:t xml:space="preserve">ão de 10 (dez) leitos críticos </w:t>
      </w:r>
      <w:r w:rsidRPr="00A565DF">
        <w:rPr>
          <w:rFonts w:ascii="Arial" w:eastAsia="Times New Roman" w:hAnsi="Arial" w:cs="Arial"/>
          <w:sz w:val="24"/>
          <w:szCs w:val="24"/>
        </w:rPr>
        <w:t xml:space="preserve">para atendimento de pacientes com sintomas respiratórios e/ou suspeita de infecção pelo novo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. Diante disto, </w:t>
      </w:r>
      <w:r w:rsidRPr="00A565DF">
        <w:rPr>
          <w:rFonts w:ascii="Arial" w:hAnsi="Arial" w:cs="Arial"/>
          <w:sz w:val="24"/>
          <w:szCs w:val="24"/>
        </w:rPr>
        <w:t>as unidades de internação encontram-se distribuídas da seguinte maneira: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Adulto: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9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 de internação, sendo 4 leitos privativos para pacientes em precaução especial –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Pediátrica: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leitos, sendo 2 para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UTI COVID: composta de 10 leitos, sendo </w:t>
      </w:r>
      <w:proofErr w:type="gramStart"/>
      <w:r w:rsidRPr="00A565DF">
        <w:rPr>
          <w:rFonts w:ascii="Arial" w:hAnsi="Arial" w:cs="Arial"/>
          <w:sz w:val="24"/>
          <w:szCs w:val="24"/>
        </w:rPr>
        <w:t>6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</w:t>
      </w:r>
      <w:r w:rsidR="006F0F94">
        <w:rPr>
          <w:rFonts w:ascii="Arial" w:hAnsi="Arial" w:cs="Arial"/>
          <w:sz w:val="24"/>
          <w:szCs w:val="24"/>
        </w:rPr>
        <w:t>quartos</w:t>
      </w:r>
      <w:r w:rsidRPr="00A565DF">
        <w:rPr>
          <w:rFonts w:ascii="Arial" w:hAnsi="Arial" w:cs="Arial"/>
          <w:sz w:val="24"/>
          <w:szCs w:val="24"/>
        </w:rPr>
        <w:t xml:space="preserve"> privativos</w:t>
      </w:r>
      <w:r w:rsidR="006F0F94">
        <w:rPr>
          <w:rFonts w:ascii="Arial" w:hAnsi="Arial" w:cs="Arial"/>
          <w:sz w:val="24"/>
          <w:szCs w:val="24"/>
        </w:rPr>
        <w:t xml:space="preserve"> e</w:t>
      </w:r>
      <w:r w:rsidRPr="00A565DF">
        <w:rPr>
          <w:rFonts w:ascii="Arial" w:hAnsi="Arial" w:cs="Arial"/>
          <w:sz w:val="24"/>
          <w:szCs w:val="24"/>
        </w:rPr>
        <w:t xml:space="preserve"> 2 coorte;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Emergência: possui </w:t>
      </w:r>
      <w:proofErr w:type="gramStart"/>
      <w:r w:rsidRPr="00A565DF">
        <w:rPr>
          <w:rFonts w:ascii="Arial" w:hAnsi="Arial" w:cs="Arial"/>
          <w:sz w:val="24"/>
          <w:szCs w:val="24"/>
        </w:rPr>
        <w:t>1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reanimação e 3 enfermarias duplas (6 leitos), com 3 consultórios para atendimento;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 I. Adulto: é dividida em Ala A Adulto com </w:t>
      </w:r>
      <w:proofErr w:type="gramStart"/>
      <w:r w:rsidRPr="00A565DF">
        <w:rPr>
          <w:rFonts w:ascii="Arial" w:hAnsi="Arial" w:cs="Arial"/>
          <w:sz w:val="24"/>
          <w:szCs w:val="24"/>
        </w:rPr>
        <w:t>3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(10 leitos), Ala B com 6 enfermarias duplas (12 leitos), Ala C com 16 enfermarias duplas (32 leitos), Ala D com 5 enfermarias (9 leitos), Ala E com 4 enfermarias duplas (8 leitos).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U.I pediátrica: possui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(11 leitos);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Hospital dia: possui 10 poltronas para atendimento.</w:t>
      </w:r>
    </w:p>
    <w:p w:rsidR="005961BB" w:rsidRPr="00A565DF" w:rsidRDefault="005961BB" w:rsidP="00F87A2C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F87A2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152650"/>
            <wp:effectExtent l="19050" t="0" r="1905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1BB" w:rsidRPr="00A565DF" w:rsidRDefault="005961BB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C6718E" w:rsidRPr="00A565DF" w:rsidRDefault="00C6718E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</w:rPr>
      </w:pPr>
    </w:p>
    <w:p w:rsidR="00C6718E" w:rsidRPr="00A565DF" w:rsidRDefault="00C6718E" w:rsidP="00EA4AD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 Hospital Dia recebe pacientes específicos do HDT, que não necessitam de internação hospitalar, mas que precisam fazer uso de medicações endovenosas. O setor está contemplado com 10 leitos e consegue até o momento, atender a demanda necessária, sendo os pacientes acompanhados por assistência completa de médico, enfermeiro e técnico de enfermagem.</w:t>
      </w:r>
    </w:p>
    <w:p w:rsidR="00717FA9" w:rsidRDefault="00717FA9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B37D5D" w:rsidRPr="0053144C" w:rsidRDefault="00B37D5D" w:rsidP="00531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Pr="00A565DF" w:rsidRDefault="00B37D5D" w:rsidP="001D044B">
      <w:pPr>
        <w:pStyle w:val="PargrafodaLista"/>
        <w:spacing w:after="0" w:line="360" w:lineRule="auto"/>
        <w:ind w:left="0"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C341FF" w:rsidRPr="00A565DF" w:rsidRDefault="0090652F" w:rsidP="006C72CA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6C72CA" w:rsidRPr="00A565DF">
        <w:rPr>
          <w:rFonts w:ascii="Arial" w:hAnsi="Arial" w:cs="Arial"/>
          <w:color w:val="000000" w:themeColor="text1"/>
          <w:sz w:val="24"/>
          <w:szCs w:val="24"/>
        </w:rPr>
        <w:t>METAS DE PRODUÇÃO</w:t>
      </w:r>
      <w:r w:rsidR="00C341FF" w:rsidRPr="00A565DF">
        <w:rPr>
          <w:rFonts w:ascii="Arial" w:hAnsi="Arial" w:cs="Arial"/>
          <w:color w:val="000000" w:themeColor="text1"/>
          <w:sz w:val="24"/>
          <w:szCs w:val="24"/>
        </w:rPr>
        <w:t xml:space="preserve"> E RESULTADOS ALCANÇADOS</w:t>
      </w:r>
    </w:p>
    <w:p w:rsidR="001C398B" w:rsidRPr="00A565DF" w:rsidRDefault="001C398B" w:rsidP="001C398B">
      <w:pPr>
        <w:rPr>
          <w:rFonts w:ascii="Arial" w:hAnsi="Arial" w:cs="Arial"/>
          <w:sz w:val="24"/>
          <w:szCs w:val="24"/>
        </w:rPr>
      </w:pPr>
    </w:p>
    <w:p w:rsidR="009C1582" w:rsidRPr="00A565DF" w:rsidRDefault="00F467BB" w:rsidP="001C39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>4.1 - COMPARATIVO ENTRE AS METAS PROPOSTAS E OS RESULTADOS ALCANÇADOS</w:t>
      </w:r>
    </w:p>
    <w:p w:rsidR="009C1582" w:rsidRPr="00A565DF" w:rsidRDefault="009C1582" w:rsidP="001C39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954" w:type="dxa"/>
        <w:tblInd w:w="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16"/>
        <w:gridCol w:w="1261"/>
        <w:gridCol w:w="1114"/>
      </w:tblGrid>
      <w:tr w:rsidR="009C1582" w:rsidRPr="00A565DF" w:rsidTr="00DE6A54">
        <w:trPr>
          <w:trHeight w:val="72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F2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PRODUÇÃO </w:t>
            </w:r>
            <w:r w:rsidR="00F238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FEVEREIRO</w:t>
            </w:r>
            <w:r w:rsidR="00531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Realizado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Atingido da Meta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HOSPITALARES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Saídas Hospitalares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119%</w:t>
            </w:r>
          </w:p>
        </w:tc>
      </w:tr>
      <w:tr w:rsidR="009C1582" w:rsidRPr="00A565DF" w:rsidTr="00DE6A54">
        <w:trPr>
          <w:trHeight w:val="42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 DIA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Internações Hospital Dia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 ATENDIMENTO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AMBULATORIAL 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Consultas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0E737C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277%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Médicas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D65AC0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357%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Não Medicas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0E737C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D65AC0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 SADT EXTERNO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CB5877" w:rsidRPr="00A565DF" w:rsidRDefault="00CB5877" w:rsidP="00CB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Ultrassonografia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Ecocardiograma</w:t>
            </w:r>
            <w:proofErr w:type="spellEnd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CB5877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</w:tbl>
    <w:p w:rsidR="00782864" w:rsidRDefault="0078286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A54" w:rsidRPr="00A565DF" w:rsidRDefault="00DE6A5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3ADE" w:rsidRPr="00A565DF" w:rsidRDefault="009C1582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4.2 - </w:t>
      </w:r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>ANÁLISE</w:t>
      </w:r>
      <w:proofErr w:type="gramEnd"/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CR</w:t>
      </w:r>
      <w:r w:rsidR="003B7143" w:rsidRPr="00A565DF">
        <w:rPr>
          <w:rFonts w:ascii="Arial" w:hAnsi="Arial" w:cs="Arial"/>
          <w:b/>
          <w:color w:val="000000" w:themeColor="text1"/>
          <w:sz w:val="24"/>
          <w:szCs w:val="24"/>
        </w:rPr>
        <w:t>ÍTICA DOS RESULTADOS ALCANÇADOS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Saídas</w:t>
      </w:r>
      <w:r w:rsidR="005B36EA" w:rsidRPr="00A565DF">
        <w:rPr>
          <w:rFonts w:ascii="Arial" w:hAnsi="Arial" w:cs="Arial"/>
          <w:b/>
          <w:color w:val="002060"/>
          <w:sz w:val="24"/>
          <w:szCs w:val="24"/>
        </w:rPr>
        <w:t xml:space="preserve"> Hospitalares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B2200C" w:rsidRPr="00A565DF" w:rsidRDefault="00E24BD1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>Conforme o Contrato de G</w:t>
      </w:r>
      <w:r w:rsidR="00AF47D9" w:rsidRPr="00A565DF">
        <w:rPr>
          <w:rFonts w:ascii="Arial" w:hAnsi="Arial" w:cs="Arial"/>
          <w:color w:val="000000" w:themeColor="text1"/>
          <w:sz w:val="24"/>
          <w:szCs w:val="24"/>
        </w:rPr>
        <w:t>estão Nº 091/2012 – ISG/SES – GO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e seu 12ª Termo Aditivo vigente, </w:t>
      </w:r>
      <w:r w:rsidR="009569B7"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deverá realizar mensalmente 230 saídas em clínica médica, com variação de </w:t>
      </w:r>
      <w:r w:rsidR="005B36EA" w:rsidRPr="00A565DF">
        <w:rPr>
          <w:rFonts w:ascii="Arial" w:hAnsi="Arial" w:cs="Arial"/>
          <w:color w:val="000000" w:themeColor="text1"/>
          <w:sz w:val="24"/>
          <w:szCs w:val="24"/>
        </w:rPr>
        <w:t xml:space="preserve">±10% de acordo com o número de leitos operacionais cadastrados. </w:t>
      </w:r>
    </w:p>
    <w:p w:rsidR="003B7143" w:rsidRPr="00A565DF" w:rsidRDefault="005B36EA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No mês de </w:t>
      </w:r>
      <w:r w:rsidR="00A661D2">
        <w:rPr>
          <w:rFonts w:ascii="Arial" w:hAnsi="Arial" w:cs="Arial"/>
          <w:b/>
          <w:color w:val="000000" w:themeColor="text1"/>
          <w:sz w:val="24"/>
          <w:szCs w:val="24"/>
        </w:rPr>
        <w:t>fevereiro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F1FC6" w:rsidRPr="00A565DF">
        <w:rPr>
          <w:rFonts w:ascii="Arial" w:hAnsi="Arial" w:cs="Arial"/>
          <w:color w:val="000000" w:themeColor="text1"/>
          <w:sz w:val="24"/>
          <w:szCs w:val="24"/>
        </w:rPr>
        <w:t xml:space="preserve"> HDT </w:t>
      </w:r>
      <w:r w:rsidR="00AA1E86" w:rsidRPr="00A565DF">
        <w:rPr>
          <w:rFonts w:ascii="Arial" w:hAnsi="Arial" w:cs="Arial"/>
          <w:color w:val="000000" w:themeColor="text1"/>
          <w:sz w:val="24"/>
          <w:szCs w:val="24"/>
        </w:rPr>
        <w:t>obteve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1D2">
        <w:rPr>
          <w:rFonts w:ascii="Arial" w:hAnsi="Arial" w:cs="Arial"/>
          <w:color w:val="000000" w:themeColor="text1"/>
          <w:sz w:val="24"/>
          <w:szCs w:val="24"/>
        </w:rPr>
        <w:t>273 saídas, o que corresponde a 119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>% de alcance da</w:t>
      </w:r>
      <w:r w:rsidR="00670613" w:rsidRPr="00A565DF">
        <w:rPr>
          <w:rFonts w:ascii="Arial" w:hAnsi="Arial" w:cs="Arial"/>
          <w:color w:val="000000" w:themeColor="text1"/>
          <w:sz w:val="24"/>
          <w:szCs w:val="24"/>
        </w:rPr>
        <w:t xml:space="preserve"> meta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 pactuada. Mesmo com o contexto de pandemia ainda perdurando, conseguimos manter a produção de saídas hospitalares acima do previsto em CG. </w:t>
      </w:r>
    </w:p>
    <w:p w:rsidR="00AA1E86" w:rsidRPr="00A565DF" w:rsidRDefault="00AA1E86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48275" cy="1543050"/>
            <wp:effectExtent l="0" t="0" r="0" b="0"/>
            <wp:docPr id="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143" w:rsidRPr="00A565DF" w:rsidRDefault="003B7143" w:rsidP="007F1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Hospital Dia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3B7143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para o atendimento </w:t>
      </w:r>
      <w:r w:rsidR="00137E52">
        <w:rPr>
          <w:rFonts w:ascii="Arial" w:hAnsi="Arial" w:cs="Arial"/>
          <w:sz w:val="24"/>
          <w:szCs w:val="24"/>
        </w:rPr>
        <w:t>em regime de Hospital Dia é de 200</w:t>
      </w:r>
      <w:r w:rsidRPr="00A565DF">
        <w:rPr>
          <w:rFonts w:ascii="Arial" w:hAnsi="Arial" w:cs="Arial"/>
          <w:sz w:val="24"/>
          <w:szCs w:val="24"/>
        </w:rPr>
        <w:t xml:space="preserve"> atendimentos mensais, com variação de 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±10%. </w:t>
      </w:r>
    </w:p>
    <w:p w:rsidR="00F23835" w:rsidRPr="00A565DF" w:rsidRDefault="00AA1E86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realizou no mês de </w:t>
      </w:r>
      <w:r w:rsidR="00F23835">
        <w:rPr>
          <w:rFonts w:ascii="Arial" w:hAnsi="Arial" w:cs="Arial"/>
          <w:b/>
          <w:color w:val="000000" w:themeColor="text1"/>
          <w:sz w:val="24"/>
          <w:szCs w:val="24"/>
        </w:rPr>
        <w:t>fevereiro</w:t>
      </w: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23835">
        <w:rPr>
          <w:rFonts w:ascii="Arial" w:hAnsi="Arial" w:cs="Arial"/>
          <w:color w:val="000000" w:themeColor="text1"/>
          <w:sz w:val="24"/>
          <w:szCs w:val="24"/>
        </w:rPr>
        <w:t>149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F23835">
        <w:rPr>
          <w:rFonts w:ascii="Arial" w:hAnsi="Arial" w:cs="Arial"/>
          <w:color w:val="000000" w:themeColor="text1"/>
          <w:sz w:val="24"/>
          <w:szCs w:val="24"/>
        </w:rPr>
        <w:t>tendimentos, correspondendo a 74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% de alcance da meta. </w:t>
      </w:r>
    </w:p>
    <w:p w:rsidR="008A2BAC" w:rsidRPr="00A565DF" w:rsidRDefault="008A2BAC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14775" cy="1590675"/>
            <wp:effectExtent l="0" t="0" r="0" b="0"/>
            <wp:docPr id="7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E86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835" w:rsidRPr="00FA1571" w:rsidRDefault="00F23835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destacar, que o Hospital Dia é destinado para atendimento de um perfil bem específico de pacientes, sendo que a demanda dos casos é algo que está alheio à gestão do HDT, por não ter o controle de quando ou quantos pacientes necessitarão do serviço oferecido. </w:t>
      </w:r>
    </w:p>
    <w:p w:rsidR="00F23835" w:rsidRPr="00A565DF" w:rsidRDefault="00F23835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SADT Externo </w:t>
      </w: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HDT deve realizar um número de SADT Externo à Rede Assistencial, de acordo com fluxos estabelecidos pelo Complexo Regulador Estadual e/ou Municipal, no limite da capacidade operacional do SADT, qual </w:t>
      </w:r>
      <w:proofErr w:type="gramStart"/>
      <w:r w:rsidRPr="00A565DF">
        <w:rPr>
          <w:rFonts w:ascii="Arial" w:hAnsi="Arial" w:cs="Arial"/>
          <w:sz w:val="24"/>
          <w:szCs w:val="24"/>
        </w:rPr>
        <w:t>seja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, </w:t>
      </w:r>
      <w:r w:rsidRPr="00A565DF">
        <w:rPr>
          <w:rFonts w:ascii="Arial" w:hAnsi="Arial" w:cs="Arial"/>
          <w:b/>
          <w:bCs/>
          <w:sz w:val="24"/>
          <w:szCs w:val="24"/>
        </w:rPr>
        <w:t>radiografias e tomografias computadorizadas</w:t>
      </w:r>
      <w:r w:rsidRPr="00A565DF">
        <w:rPr>
          <w:rFonts w:ascii="Arial" w:hAnsi="Arial" w:cs="Arial"/>
          <w:sz w:val="24"/>
          <w:szCs w:val="24"/>
        </w:rPr>
        <w:t>, de 140 e 300 exames, respectivamente, mensais, com variação de até 10%.</w:t>
      </w: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No mês de </w:t>
      </w:r>
      <w:r w:rsidR="008C3105">
        <w:rPr>
          <w:rFonts w:ascii="Arial" w:hAnsi="Arial" w:cs="Arial"/>
          <w:b/>
          <w:sz w:val="24"/>
          <w:szCs w:val="24"/>
        </w:rPr>
        <w:t>fevereiro</w:t>
      </w:r>
      <w:r w:rsidRPr="00A565DF">
        <w:rPr>
          <w:rFonts w:ascii="Arial" w:hAnsi="Arial" w:cs="Arial"/>
          <w:sz w:val="24"/>
          <w:szCs w:val="24"/>
        </w:rPr>
        <w:t xml:space="preserve"> foram realizadas </w:t>
      </w:r>
      <w:r w:rsidR="008C3105">
        <w:rPr>
          <w:rFonts w:ascii="Arial" w:hAnsi="Arial" w:cs="Arial"/>
          <w:sz w:val="24"/>
          <w:szCs w:val="24"/>
        </w:rPr>
        <w:t>308</w:t>
      </w:r>
      <w:r w:rsidRPr="00A565DF">
        <w:rPr>
          <w:rFonts w:ascii="Arial" w:hAnsi="Arial" w:cs="Arial"/>
          <w:sz w:val="24"/>
          <w:szCs w:val="24"/>
        </w:rPr>
        <w:t xml:space="preserve"> radiografias e </w:t>
      </w:r>
      <w:r w:rsidR="008C3105">
        <w:rPr>
          <w:rFonts w:ascii="Arial" w:hAnsi="Arial" w:cs="Arial"/>
          <w:sz w:val="24"/>
          <w:szCs w:val="24"/>
        </w:rPr>
        <w:t>141</w:t>
      </w:r>
      <w:r w:rsidR="00701DC8">
        <w:rPr>
          <w:rFonts w:ascii="Arial" w:hAnsi="Arial" w:cs="Arial"/>
          <w:sz w:val="24"/>
          <w:szCs w:val="24"/>
        </w:rPr>
        <w:t xml:space="preserve"> tomografias. Em relação a radiografias, superamos a quantidade prevista, atingindo a meta em </w:t>
      </w:r>
      <w:r w:rsidR="008C3105">
        <w:rPr>
          <w:rFonts w:ascii="Arial" w:hAnsi="Arial" w:cs="Arial"/>
          <w:sz w:val="24"/>
          <w:szCs w:val="24"/>
        </w:rPr>
        <w:t>220</w:t>
      </w:r>
      <w:r w:rsidRPr="00A565DF">
        <w:rPr>
          <w:rFonts w:ascii="Arial" w:hAnsi="Arial" w:cs="Arial"/>
          <w:sz w:val="24"/>
          <w:szCs w:val="24"/>
        </w:rPr>
        <w:t>%</w:t>
      </w:r>
      <w:r w:rsidR="00701DC8">
        <w:rPr>
          <w:rFonts w:ascii="Arial" w:hAnsi="Arial" w:cs="Arial"/>
          <w:sz w:val="24"/>
          <w:szCs w:val="24"/>
        </w:rPr>
        <w:t xml:space="preserve">. Já no que tange as tomografias, ficamos abaixo do esperando, sendo que a meta foi atingida em </w:t>
      </w:r>
      <w:r w:rsidR="008C3105">
        <w:rPr>
          <w:rFonts w:ascii="Arial" w:hAnsi="Arial" w:cs="Arial"/>
          <w:sz w:val="24"/>
          <w:szCs w:val="24"/>
        </w:rPr>
        <w:t>47</w:t>
      </w:r>
      <w:r w:rsidR="00701DC8">
        <w:rPr>
          <w:rFonts w:ascii="Arial" w:hAnsi="Arial" w:cs="Arial"/>
          <w:sz w:val="24"/>
          <w:szCs w:val="24"/>
        </w:rPr>
        <w:t xml:space="preserve">%. </w:t>
      </w:r>
    </w:p>
    <w:p w:rsidR="00701DC8" w:rsidRPr="00A565DF" w:rsidRDefault="00A974F2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               </w:t>
      </w:r>
      <w:r w:rsidRPr="00A565DF"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4314825" cy="1847850"/>
            <wp:effectExtent l="0" t="0" r="0" b="0"/>
            <wp:docPr id="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1DC8" w:rsidRDefault="00701DC8" w:rsidP="00701D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01DC8" w:rsidRPr="00E31013" w:rsidRDefault="000E240F" w:rsidP="000E240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Destacamos que o</w:t>
      </w:r>
      <w:r w:rsidR="00701DC8">
        <w:rPr>
          <w:rFonts w:ascii="Arial" w:hAnsi="Arial" w:cs="Arial"/>
          <w:sz w:val="24"/>
          <w:szCs w:val="24"/>
        </w:rPr>
        <w:t xml:space="preserve"> alcance dessa meta não depende</w:t>
      </w:r>
      <w:r w:rsidR="00701DC8" w:rsidRPr="00E31013">
        <w:rPr>
          <w:rFonts w:ascii="Arial" w:hAnsi="Arial" w:cs="Arial"/>
          <w:sz w:val="24"/>
          <w:szCs w:val="24"/>
        </w:rPr>
        <w:t xml:space="preserve"> da atuação exclusiva </w:t>
      </w:r>
      <w:r w:rsidR="00701DC8">
        <w:rPr>
          <w:rFonts w:ascii="Arial" w:hAnsi="Arial" w:cs="Arial"/>
          <w:sz w:val="24"/>
          <w:szCs w:val="24"/>
        </w:rPr>
        <w:t>do HDT</w:t>
      </w:r>
      <w:r w:rsidR="00701DC8" w:rsidRPr="00E31013">
        <w:rPr>
          <w:rFonts w:ascii="Arial" w:hAnsi="Arial" w:cs="Arial"/>
          <w:sz w:val="24"/>
          <w:szCs w:val="24"/>
        </w:rPr>
        <w:t xml:space="preserve">, </w:t>
      </w:r>
      <w:r w:rsidR="00701DC8">
        <w:rPr>
          <w:rFonts w:ascii="Arial" w:hAnsi="Arial" w:cs="Arial"/>
          <w:sz w:val="24"/>
          <w:szCs w:val="24"/>
        </w:rPr>
        <w:t xml:space="preserve">pois </w:t>
      </w:r>
      <w:r w:rsidR="00701DC8" w:rsidRPr="00E31013">
        <w:rPr>
          <w:rFonts w:ascii="Arial" w:hAnsi="Arial" w:cs="Arial"/>
          <w:sz w:val="24"/>
          <w:szCs w:val="24"/>
        </w:rPr>
        <w:t>para o efetivo cump</w:t>
      </w:r>
      <w:r w:rsidR="00701DC8">
        <w:rPr>
          <w:rFonts w:ascii="Arial" w:hAnsi="Arial" w:cs="Arial"/>
          <w:sz w:val="24"/>
          <w:szCs w:val="24"/>
        </w:rPr>
        <w:t>rimento dos números previstos,</w:t>
      </w:r>
      <w:r w:rsidR="00701DC8" w:rsidRPr="00E31013">
        <w:rPr>
          <w:rFonts w:ascii="Arial" w:hAnsi="Arial" w:cs="Arial"/>
          <w:sz w:val="24"/>
          <w:szCs w:val="24"/>
        </w:rPr>
        <w:t xml:space="preserve"> depende</w:t>
      </w:r>
      <w:r w:rsidR="00701DC8">
        <w:rPr>
          <w:rFonts w:ascii="Arial" w:hAnsi="Arial" w:cs="Arial"/>
          <w:sz w:val="24"/>
          <w:szCs w:val="24"/>
        </w:rPr>
        <w:t>mos</w:t>
      </w:r>
      <w:r w:rsidR="00701DC8" w:rsidRPr="00E31013">
        <w:rPr>
          <w:rFonts w:ascii="Arial" w:hAnsi="Arial" w:cs="Arial"/>
          <w:sz w:val="24"/>
          <w:szCs w:val="24"/>
        </w:rPr>
        <w:t xml:space="preserve"> do encaminhamento de pacien</w:t>
      </w:r>
      <w:r>
        <w:rPr>
          <w:rFonts w:ascii="Arial" w:hAnsi="Arial" w:cs="Arial"/>
          <w:sz w:val="24"/>
          <w:szCs w:val="24"/>
        </w:rPr>
        <w:t xml:space="preserve">tes pelo Município e/ou Estado. </w:t>
      </w:r>
    </w:p>
    <w:p w:rsidR="00847743" w:rsidRPr="00A565DF" w:rsidRDefault="00847743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Atendimento Ambulatorial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847743" w:rsidRPr="00A565DF" w:rsidRDefault="00847743" w:rsidP="008477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mensal para atendimento ambulatorial no HDT é subdividida em Consultas Médicas e Consultas Não Médicas, sendo 750 e 300 respectivamente. </w:t>
      </w:r>
    </w:p>
    <w:p w:rsidR="001130C2" w:rsidRDefault="00AA002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 </w:t>
      </w:r>
      <w:r w:rsidR="00847743" w:rsidRPr="00A565DF">
        <w:rPr>
          <w:rFonts w:ascii="Arial" w:hAnsi="Arial" w:cs="Arial"/>
          <w:sz w:val="24"/>
          <w:szCs w:val="24"/>
        </w:rPr>
        <w:t xml:space="preserve">Em </w:t>
      </w:r>
      <w:r w:rsidR="00ED0CC5">
        <w:rPr>
          <w:rFonts w:ascii="Arial" w:hAnsi="Arial" w:cs="Arial"/>
          <w:b/>
          <w:sz w:val="24"/>
          <w:szCs w:val="24"/>
        </w:rPr>
        <w:t>fevereiro</w:t>
      </w:r>
      <w:r w:rsidR="00847743" w:rsidRPr="00A565DF">
        <w:rPr>
          <w:rFonts w:ascii="Arial" w:hAnsi="Arial" w:cs="Arial"/>
          <w:sz w:val="24"/>
          <w:szCs w:val="24"/>
        </w:rPr>
        <w:t xml:space="preserve"> a produção ambulatorial</w:t>
      </w:r>
      <w:r w:rsidR="0063176D">
        <w:rPr>
          <w:rFonts w:ascii="Arial" w:hAnsi="Arial" w:cs="Arial"/>
          <w:sz w:val="24"/>
          <w:szCs w:val="24"/>
        </w:rPr>
        <w:t xml:space="preserve"> de consultas m</w:t>
      </w:r>
      <w:r w:rsidR="0063176D" w:rsidRPr="00A565DF">
        <w:rPr>
          <w:rFonts w:ascii="Arial" w:hAnsi="Arial" w:cs="Arial"/>
          <w:sz w:val="24"/>
          <w:szCs w:val="24"/>
        </w:rPr>
        <w:t>édicas</w:t>
      </w:r>
      <w:r w:rsidR="007B695E" w:rsidRPr="00A565DF">
        <w:rPr>
          <w:rFonts w:ascii="Arial" w:hAnsi="Arial" w:cs="Arial"/>
          <w:sz w:val="24"/>
          <w:szCs w:val="24"/>
        </w:rPr>
        <w:t xml:space="preserve"> </w:t>
      </w:r>
      <w:r w:rsidR="00CF10B0" w:rsidRPr="00A565DF">
        <w:rPr>
          <w:rFonts w:ascii="Arial" w:hAnsi="Arial" w:cs="Arial"/>
          <w:sz w:val="24"/>
          <w:szCs w:val="24"/>
        </w:rPr>
        <w:t xml:space="preserve">manteve-se </w:t>
      </w:r>
      <w:r w:rsidR="00847743" w:rsidRPr="00A565DF">
        <w:rPr>
          <w:rFonts w:ascii="Arial" w:hAnsi="Arial" w:cs="Arial"/>
          <w:sz w:val="24"/>
          <w:szCs w:val="24"/>
        </w:rPr>
        <w:t xml:space="preserve">expressivamente </w:t>
      </w:r>
      <w:r w:rsidR="00CF10B0" w:rsidRPr="00A565DF">
        <w:rPr>
          <w:rFonts w:ascii="Arial" w:hAnsi="Arial" w:cs="Arial"/>
          <w:sz w:val="24"/>
          <w:szCs w:val="24"/>
        </w:rPr>
        <w:t xml:space="preserve">acima </w:t>
      </w:r>
      <w:r w:rsidR="0063176D">
        <w:rPr>
          <w:rFonts w:ascii="Arial" w:hAnsi="Arial" w:cs="Arial"/>
          <w:sz w:val="24"/>
          <w:szCs w:val="24"/>
        </w:rPr>
        <w:t xml:space="preserve">do pactuado, sugerindo </w:t>
      </w:r>
      <w:r w:rsidR="00E132A6">
        <w:rPr>
          <w:rFonts w:ascii="Arial" w:hAnsi="Arial" w:cs="Arial"/>
          <w:sz w:val="24"/>
          <w:szCs w:val="24"/>
        </w:rPr>
        <w:t xml:space="preserve">a necessidade de revisão da meta, visto que o HDT é referência para atendimento de infectologia e dermatologia no estado de Goiás. </w:t>
      </w:r>
    </w:p>
    <w:p w:rsidR="0063176D" w:rsidRPr="00A565DF" w:rsidRDefault="00E132A6" w:rsidP="0063176D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 tratar de pacientes com patologias frequentemente crônicas, a demanda por consultas de retorno, somada a demanda por consultas de primeira vez, corresponde a um quantitativo de consultas muito maior do que o previsto em contrato de gestão. </w:t>
      </w:r>
    </w:p>
    <w:p w:rsidR="002829DC" w:rsidRPr="00A565DF" w:rsidRDefault="002829D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2829DC" w:rsidP="00A9142E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1BD3C1F" wp14:editId="43B8452E">
            <wp:extent cx="4162425" cy="1800225"/>
            <wp:effectExtent l="0" t="0" r="0" b="0"/>
            <wp:docPr id="9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09B9" w:rsidRPr="00A565DF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6A1A76" w:rsidRPr="00A565DF" w:rsidRDefault="00AF48A2" w:rsidP="00A565DF">
      <w:pPr>
        <w:pStyle w:val="PargrafodaLista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565DF" w:rsidRPr="00A565DF">
        <w:rPr>
          <w:rFonts w:ascii="Arial" w:hAnsi="Arial" w:cs="Arial"/>
          <w:b/>
          <w:color w:val="000000" w:themeColor="text1"/>
          <w:sz w:val="24"/>
          <w:szCs w:val="24"/>
        </w:rPr>
        <w:t>METAS DE DESEMPENHO E RESULTADOS ALCANÇADOS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3FBE" w:rsidRPr="00A565DF" w:rsidRDefault="00413FBE" w:rsidP="00A565D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Os indicadores de desempenho estão relacionados à qualidade da assistência oferecida aos usuários da unidade e mensuram a eficiência, efetividade e qualidade dos processos de gestão.</w:t>
      </w:r>
    </w:p>
    <w:p w:rsidR="00C61ABA" w:rsidRPr="00A565DF" w:rsidRDefault="00C61ABA" w:rsidP="00B869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ab/>
        <w:t>Estabelecem-se como indicadores determinantes do repasse da parte variável: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565DF">
        <w:rPr>
          <w:rFonts w:ascii="Arial" w:hAnsi="Arial" w:cs="Arial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de Ocupação Hospitalar ≥ 85%;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Média de Permanência Hospitalar ≤ 10 dias;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Índice de Intervalo de Substituição de leitos ≤ 43%;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Percentual de ocorrência de Rejeição no SIH ≤ 1%;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>: Avaliação dos pacientes com relação ao uso racional de medicamentos ≥ 80%;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: Avaliação de reações adversas a medicamentos RAM quanto </w:t>
      </w:r>
      <w:proofErr w:type="gramStart"/>
      <w:r w:rsidRPr="00A565DF">
        <w:rPr>
          <w:rFonts w:ascii="Arial" w:hAnsi="Arial" w:cs="Arial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gravidade ≥ 70%</w:t>
      </w:r>
      <w:r w:rsidR="00F26452" w:rsidRPr="00A565DF">
        <w:rPr>
          <w:rFonts w:ascii="Arial" w:hAnsi="Arial" w:cs="Arial"/>
          <w:sz w:val="24"/>
          <w:szCs w:val="24"/>
        </w:rPr>
        <w:t>.</w:t>
      </w:r>
    </w:p>
    <w:p w:rsidR="00C61ABA" w:rsidRPr="00A565DF" w:rsidRDefault="00C61ABA" w:rsidP="00B86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4CDB" w:rsidRPr="00A565DF" w:rsidRDefault="00C61ABA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de Ocupação Hospitalar ≥ 85%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55C23" w:rsidRPr="00A565DF" w:rsidRDefault="00D55C23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percentual entre o número de pacientes-dia, em determinado período, e o número de leitos-dia no mesmo período. </w:t>
      </w:r>
    </w:p>
    <w:p w:rsidR="00F26452" w:rsidRPr="00A565DF" w:rsidRDefault="00F96D7B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Taxa de Ocupação Hospitalar avalia o grau de utilização dos leitos operacionais no hospital como um todo. Mensura o perfil de utilização e gestão do</w:t>
      </w:r>
      <w:r w:rsidR="00F26452" w:rsidRPr="00A565DF">
        <w:rPr>
          <w:rFonts w:ascii="Arial" w:hAnsi="Arial" w:cs="Arial"/>
          <w:sz w:val="24"/>
          <w:szCs w:val="24"/>
        </w:rPr>
        <w:t xml:space="preserve"> leito operacional no hospital. </w:t>
      </w:r>
      <w:r w:rsidRPr="00A565DF">
        <w:rPr>
          <w:rFonts w:ascii="Arial" w:hAnsi="Arial" w:cs="Arial"/>
          <w:sz w:val="24"/>
          <w:szCs w:val="24"/>
        </w:rPr>
        <w:t xml:space="preserve">A gestão eficiente do leito operacional aumenta a oferta de leitos para o sistema de saúde. </w:t>
      </w:r>
    </w:p>
    <w:p w:rsidR="00F96D7B" w:rsidRPr="00A565DF" w:rsidRDefault="00F96D7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sz w:val="18"/>
          <w:szCs w:val="18"/>
        </w:rPr>
        <w:lastRenderedPageBreak/>
        <w:t>Fórmula:</w:t>
      </w:r>
      <w:proofErr w:type="gramStart"/>
      <w:r w:rsidRPr="00DE6A5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E6A54">
        <w:rPr>
          <w:rFonts w:ascii="Arial" w:hAnsi="Arial" w:cs="Arial"/>
          <w:i/>
          <w:sz w:val="18"/>
          <w:szCs w:val="18"/>
        </w:rPr>
        <w:t>____</w:t>
      </w:r>
      <w:r w:rsidR="00F96D7B" w:rsidRPr="00DE6A54">
        <w:rPr>
          <w:rFonts w:ascii="Arial" w:hAnsi="Arial" w:cs="Arial"/>
          <w:i/>
          <w:sz w:val="18"/>
          <w:szCs w:val="18"/>
          <w:u w:val="single"/>
        </w:rPr>
        <w:t>Total de Paciente-dia no período</w:t>
      </w:r>
      <w:r w:rsidRPr="00DE6A54">
        <w:rPr>
          <w:rFonts w:ascii="Arial" w:hAnsi="Arial" w:cs="Arial"/>
          <w:i/>
          <w:sz w:val="18"/>
          <w:szCs w:val="18"/>
          <w:u w:val="single"/>
        </w:rPr>
        <w:t xml:space="preserve">_____  </w:t>
      </w:r>
      <w:r w:rsidRPr="00DE6A54">
        <w:rPr>
          <w:rFonts w:ascii="Arial" w:hAnsi="Arial" w:cs="Arial"/>
          <w:i/>
          <w:sz w:val="18"/>
          <w:szCs w:val="18"/>
        </w:rPr>
        <w:t xml:space="preserve">X 100 </w:t>
      </w: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i/>
          <w:sz w:val="18"/>
          <w:szCs w:val="18"/>
        </w:rPr>
        <w:t xml:space="preserve">                   </w:t>
      </w:r>
      <w:r w:rsidR="00F96D7B" w:rsidRPr="00DE6A54">
        <w:rPr>
          <w:rFonts w:ascii="Arial" w:hAnsi="Arial" w:cs="Arial"/>
          <w:i/>
          <w:sz w:val="18"/>
          <w:szCs w:val="18"/>
        </w:rPr>
        <w:t>Total de Leitos Operacionais</w:t>
      </w:r>
      <w:r w:rsidRPr="00DE6A54">
        <w:rPr>
          <w:rFonts w:ascii="Arial" w:hAnsi="Arial" w:cs="Arial"/>
          <w:i/>
          <w:sz w:val="18"/>
          <w:szCs w:val="18"/>
        </w:rPr>
        <w:t xml:space="preserve"> – dia período</w:t>
      </w:r>
    </w:p>
    <w:p w:rsidR="00F26452" w:rsidRPr="00A565DF" w:rsidRDefault="00F26452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F26452" w:rsidRPr="00A565DF" w:rsidRDefault="00F26452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29075" cy="1619250"/>
            <wp:effectExtent l="0" t="0" r="0" b="0"/>
            <wp:docPr id="3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D7B" w:rsidRPr="00A565DF" w:rsidRDefault="00F96D7B" w:rsidP="00860C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0CAB" w:rsidRDefault="00D55C23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Mesmo</w:t>
      </w:r>
      <w:r w:rsidR="009757D9" w:rsidRPr="00A565DF">
        <w:rPr>
          <w:rFonts w:ascii="Arial" w:hAnsi="Arial" w:cs="Arial"/>
          <w:sz w:val="24"/>
          <w:szCs w:val="24"/>
        </w:rPr>
        <w:t xml:space="preserve"> com a quantidade de bloqueios técnicos diários </w:t>
      </w:r>
      <w:r w:rsidRPr="00A565DF">
        <w:rPr>
          <w:rFonts w:ascii="Arial" w:hAnsi="Arial" w:cs="Arial"/>
          <w:sz w:val="24"/>
          <w:szCs w:val="24"/>
        </w:rPr>
        <w:t xml:space="preserve">devido à demanda por leitos de isolamento, o HDT </w:t>
      </w:r>
      <w:r w:rsidR="003C4F69">
        <w:rPr>
          <w:rFonts w:ascii="Arial" w:hAnsi="Arial" w:cs="Arial"/>
          <w:sz w:val="24"/>
          <w:szCs w:val="24"/>
        </w:rPr>
        <w:t>superou</w:t>
      </w:r>
      <w:r w:rsidR="009757D9" w:rsidRPr="00A565DF">
        <w:rPr>
          <w:rFonts w:ascii="Arial" w:hAnsi="Arial" w:cs="Arial"/>
          <w:sz w:val="24"/>
          <w:szCs w:val="24"/>
        </w:rPr>
        <w:t xml:space="preserve"> a meta contratada no mês de</w:t>
      </w:r>
      <w:r w:rsidR="003C4F69">
        <w:rPr>
          <w:rFonts w:ascii="Arial" w:hAnsi="Arial" w:cs="Arial"/>
          <w:b/>
          <w:sz w:val="24"/>
          <w:szCs w:val="24"/>
        </w:rPr>
        <w:t xml:space="preserve"> </w:t>
      </w:r>
      <w:r w:rsidR="00A43D53">
        <w:rPr>
          <w:rFonts w:ascii="Arial" w:hAnsi="Arial" w:cs="Arial"/>
          <w:b/>
          <w:sz w:val="24"/>
          <w:szCs w:val="24"/>
        </w:rPr>
        <w:t>fevereiro</w:t>
      </w:r>
      <w:r w:rsidR="00373764" w:rsidRPr="00A565DF">
        <w:rPr>
          <w:rFonts w:ascii="Arial" w:hAnsi="Arial" w:cs="Arial"/>
          <w:sz w:val="24"/>
          <w:szCs w:val="24"/>
        </w:rPr>
        <w:t>.</w:t>
      </w:r>
      <w:r w:rsidR="009757D9" w:rsidRPr="00A565DF">
        <w:rPr>
          <w:rFonts w:ascii="Arial" w:hAnsi="Arial" w:cs="Arial"/>
          <w:sz w:val="24"/>
          <w:szCs w:val="24"/>
        </w:rPr>
        <w:t xml:space="preserve"> </w:t>
      </w:r>
      <w:r w:rsidR="00860CAB" w:rsidRPr="00A565DF">
        <w:rPr>
          <w:rFonts w:ascii="Arial" w:hAnsi="Arial" w:cs="Arial"/>
          <w:sz w:val="24"/>
          <w:szCs w:val="24"/>
        </w:rPr>
        <w:t xml:space="preserve"> </w:t>
      </w:r>
    </w:p>
    <w:p w:rsidR="003C4F69" w:rsidRPr="00A565DF" w:rsidRDefault="003C4F69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fator que contribuiu para o aumento da Taxa de Ocupação foi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nova onda de</w:t>
      </w:r>
      <w:r w:rsidR="00652E9A">
        <w:rPr>
          <w:rFonts w:ascii="Arial" w:hAnsi="Arial" w:cs="Arial"/>
          <w:sz w:val="24"/>
          <w:szCs w:val="24"/>
        </w:rPr>
        <w:t xml:space="preserve"> infecção da</w:t>
      </w:r>
      <w:r>
        <w:rPr>
          <w:rFonts w:ascii="Arial" w:hAnsi="Arial" w:cs="Arial"/>
          <w:sz w:val="24"/>
          <w:szCs w:val="24"/>
        </w:rPr>
        <w:t xml:space="preserve"> Covid-19 no estado, com aumento expressivo do número de casos e demanda por leitos de UTI.  </w:t>
      </w:r>
    </w:p>
    <w:p w:rsidR="00702F31" w:rsidRDefault="00702F31" w:rsidP="003D09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860CAB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Média de Permanência Hospitalar ≤ 10 dias</w:t>
      </w:r>
    </w:p>
    <w:p w:rsidR="00860CAB" w:rsidRPr="00A565DF" w:rsidRDefault="00860CAB" w:rsidP="00860CAB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1131D6" w:rsidRPr="00A565DF" w:rsidRDefault="001131D6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entre o total </w:t>
      </w:r>
      <w:proofErr w:type="gramStart"/>
      <w:r w:rsidRPr="00A565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565DF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A565DF">
        <w:rPr>
          <w:rFonts w:ascii="Arial" w:hAnsi="Arial" w:cs="Arial"/>
          <w:sz w:val="24"/>
          <w:szCs w:val="24"/>
        </w:rPr>
        <w:t xml:space="preserve"> pacientes-dia no período e o total de pacientes egressos do hospital. R</w:t>
      </w:r>
      <w:r w:rsidR="00157CAD" w:rsidRPr="00A565DF">
        <w:rPr>
          <w:rFonts w:ascii="Arial" w:hAnsi="Arial" w:cs="Arial"/>
          <w:sz w:val="24"/>
          <w:szCs w:val="24"/>
        </w:rPr>
        <w:t xml:space="preserve">epresenta o tempo médio em dias que os </w:t>
      </w:r>
      <w:r w:rsidRPr="00A565DF">
        <w:rPr>
          <w:rFonts w:ascii="Arial" w:hAnsi="Arial" w:cs="Arial"/>
          <w:sz w:val="24"/>
          <w:szCs w:val="24"/>
        </w:rPr>
        <w:t xml:space="preserve">pacientes permanecem internados. </w:t>
      </w:r>
    </w:p>
    <w:p w:rsidR="00157CAD" w:rsidRPr="00A565DF" w:rsidRDefault="00157CAD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Está relac</w:t>
      </w:r>
      <w:r w:rsidR="001131D6" w:rsidRPr="00A565DF">
        <w:rPr>
          <w:rFonts w:ascii="Arial" w:hAnsi="Arial" w:cs="Arial"/>
          <w:sz w:val="24"/>
          <w:szCs w:val="24"/>
        </w:rPr>
        <w:t>ionado a boas práticas clínicas e</w:t>
      </w:r>
      <w:r w:rsidRPr="00A565DF">
        <w:rPr>
          <w:rFonts w:ascii="Arial" w:hAnsi="Arial" w:cs="Arial"/>
          <w:sz w:val="24"/>
          <w:szCs w:val="24"/>
        </w:rPr>
        <w:t xml:space="preserve"> é um indicador clássico de desempenho</w:t>
      </w:r>
      <w:r w:rsidR="001131D6" w:rsidRPr="00A565DF">
        <w:rPr>
          <w:rFonts w:ascii="Arial" w:hAnsi="Arial" w:cs="Arial"/>
          <w:sz w:val="24"/>
          <w:szCs w:val="24"/>
        </w:rPr>
        <w:t xml:space="preserve"> hospitalar relacionado à</w:t>
      </w:r>
      <w:r w:rsidRPr="00A565DF">
        <w:rPr>
          <w:rFonts w:ascii="Arial" w:hAnsi="Arial" w:cs="Arial"/>
          <w:sz w:val="24"/>
          <w:szCs w:val="24"/>
        </w:rPr>
        <w:t xml:space="preserve"> gestão eficiente do leito operacional.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57CAD" w:rsidRPr="00A565DF" w:rsidRDefault="00157CAD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</w:rPr>
        <w:t xml:space="preserve">Fórmula:     </w:t>
      </w:r>
      <w:r w:rsidR="0005522C" w:rsidRPr="00A565DF">
        <w:rPr>
          <w:rFonts w:ascii="Arial" w:hAnsi="Arial" w:cs="Arial"/>
          <w:sz w:val="18"/>
          <w:szCs w:val="18"/>
        </w:rPr>
        <w:t xml:space="preserve">  </w:t>
      </w:r>
      <w:r w:rsidR="0005522C" w:rsidRPr="00A565DF">
        <w:rPr>
          <w:rFonts w:ascii="Arial" w:hAnsi="Arial" w:cs="Arial"/>
          <w:i/>
          <w:sz w:val="18"/>
          <w:szCs w:val="18"/>
        </w:rPr>
        <w:t>__</w:t>
      </w:r>
      <w:r w:rsidR="0005522C" w:rsidRPr="00A565DF">
        <w:rPr>
          <w:rFonts w:ascii="Arial" w:hAnsi="Arial" w:cs="Arial"/>
          <w:i/>
          <w:sz w:val="18"/>
          <w:szCs w:val="18"/>
          <w:u w:val="single"/>
        </w:rPr>
        <w:t>Total de paciente – dia no período__</w:t>
      </w:r>
      <w:proofErr w:type="gramStart"/>
      <w:r w:rsidR="0005522C" w:rsidRPr="00A565DF">
        <w:rPr>
          <w:rFonts w:ascii="Arial" w:hAnsi="Arial" w:cs="Arial"/>
          <w:i/>
          <w:sz w:val="18"/>
          <w:szCs w:val="18"/>
          <w:u w:val="single"/>
        </w:rPr>
        <w:t xml:space="preserve">  </w:t>
      </w:r>
    </w:p>
    <w:p w:rsidR="0005522C" w:rsidRPr="00A565DF" w:rsidRDefault="0005522C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proofErr w:type="gramEnd"/>
      <w:r w:rsidRPr="00A565DF">
        <w:rPr>
          <w:rFonts w:ascii="Arial" w:hAnsi="Arial" w:cs="Arial"/>
          <w:i/>
          <w:sz w:val="18"/>
          <w:szCs w:val="18"/>
        </w:rPr>
        <w:tab/>
      </w:r>
      <w:r w:rsidRPr="00A565DF">
        <w:rPr>
          <w:rFonts w:ascii="Arial" w:hAnsi="Arial" w:cs="Arial"/>
          <w:i/>
          <w:sz w:val="18"/>
          <w:szCs w:val="18"/>
        </w:rPr>
        <w:tab/>
        <w:t xml:space="preserve">              Total de saídas no período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05522C" w:rsidRPr="00A565DF" w:rsidRDefault="00860CAB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495425"/>
            <wp:effectExtent l="0" t="0" r="0" b="0"/>
            <wp:docPr id="40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22C" w:rsidRPr="00A565DF" w:rsidRDefault="0005522C" w:rsidP="000B7F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7D9" w:rsidRPr="00A565DF" w:rsidRDefault="0005522C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 gerenciamento de protocolos clínicos pode contribuir para facilitar a gestão da média de permanência hospitalar para as patologias de maior relevância no hospital.</w:t>
      </w:r>
      <w:r w:rsidR="000D0A29" w:rsidRPr="00A565DF">
        <w:rPr>
          <w:rFonts w:ascii="Arial" w:hAnsi="Arial" w:cs="Arial"/>
          <w:sz w:val="24"/>
          <w:szCs w:val="24"/>
        </w:rPr>
        <w:t xml:space="preserve"> </w:t>
      </w:r>
    </w:p>
    <w:p w:rsidR="001131D6" w:rsidRPr="00A565DF" w:rsidRDefault="001131D6" w:rsidP="001131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contexto pandêmico é responsável por uma demanda significativa de pacientes com quadros graves e complexos, que necessitam de tratamentos prolongados, além das demais patologias atendidas no HDT que já apresentam esse perfil. Ainda assim, o HDT manteve-se dentro da meta pactuada no mês de </w:t>
      </w:r>
      <w:r w:rsidR="00EC5D46">
        <w:rPr>
          <w:rFonts w:ascii="Arial" w:hAnsi="Arial" w:cs="Arial"/>
          <w:b/>
          <w:sz w:val="24"/>
          <w:szCs w:val="24"/>
        </w:rPr>
        <w:t>fevereiro</w:t>
      </w:r>
      <w:r w:rsidRPr="00A565DF">
        <w:rPr>
          <w:rFonts w:ascii="Arial" w:hAnsi="Arial" w:cs="Arial"/>
          <w:sz w:val="24"/>
          <w:szCs w:val="24"/>
        </w:rPr>
        <w:t xml:space="preserve">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Índice de Intervalo de Substituição de leitos ≤ 43%</w:t>
      </w:r>
    </w:p>
    <w:p w:rsidR="000B7F66" w:rsidRPr="00A565DF" w:rsidRDefault="000B7F66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24FB8" w:rsidRPr="00A565DF" w:rsidRDefault="00F24FB8" w:rsidP="00F24FB8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  <w:r w:rsidRPr="00A565DF">
        <w:rPr>
          <w:rFonts w:ascii="Arial" w:hAnsi="Arial" w:cs="Arial"/>
          <w:u w:val="single"/>
        </w:rPr>
        <w:t>Conceituação:</w:t>
      </w:r>
      <w:r w:rsidRPr="00A565DF">
        <w:rPr>
          <w:rFonts w:ascii="Arial" w:hAnsi="Arial" w:cs="Arial"/>
        </w:rPr>
        <w:t xml:space="preserve"> Assinala o tempo médio em que um leito permanece desocupado, entre a saída de um paciente e a admissão de outro. Essa medida relaciona a taxa de ocupação com a média de permanência.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22C" w:rsidRPr="00A565DF" w:rsidRDefault="0005522C" w:rsidP="00B869B0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>Fórmula:</w:t>
      </w:r>
      <w:proofErr w:type="gramStart"/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gramEnd"/>
      <w:r w:rsidR="000B7F66" w:rsidRPr="00A565DF">
        <w:rPr>
          <w:rFonts w:ascii="Arial" w:eastAsia="Times New Roman" w:hAnsi="Arial" w:cs="Arial"/>
          <w:i/>
          <w:sz w:val="18"/>
          <w:szCs w:val="18"/>
          <w:u w:val="single"/>
        </w:rPr>
        <w:t>(1-Taxa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ocupaçã</w:t>
      </w:r>
      <w:r w:rsidR="00502A30" w:rsidRPr="00A565DF">
        <w:rPr>
          <w:rFonts w:ascii="Arial" w:eastAsia="Times New Roman" w:hAnsi="Arial" w:cs="Arial"/>
          <w:i/>
          <w:sz w:val="18"/>
          <w:szCs w:val="18"/>
          <w:u w:val="single"/>
        </w:rPr>
        <w:t>o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operacional global)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X Média de Permanência em 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>horas</w:t>
      </w:r>
    </w:p>
    <w:p w:rsidR="0005522C" w:rsidRPr="00A565DF" w:rsidRDefault="0005522C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>T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>x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 de Ocupação </w:t>
      </w:r>
      <w:r w:rsidR="00FA552F" w:rsidRPr="00A565DF">
        <w:rPr>
          <w:rFonts w:ascii="Arial" w:eastAsia="Times New Roman" w:hAnsi="Arial" w:cs="Arial"/>
          <w:i/>
          <w:sz w:val="18"/>
          <w:szCs w:val="18"/>
        </w:rPr>
        <w:t>Operacional global</w:t>
      </w:r>
    </w:p>
    <w:p w:rsidR="000B7F66" w:rsidRPr="00A565DF" w:rsidRDefault="000B7F66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522C" w:rsidRPr="00A565DF" w:rsidRDefault="000B7F66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514475"/>
            <wp:effectExtent l="0" t="0" r="0" b="0"/>
            <wp:docPr id="4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522C" w:rsidRPr="00A565DF" w:rsidRDefault="0005522C" w:rsidP="00B869B0">
      <w:pPr>
        <w:spacing w:after="0" w:line="36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</w:p>
    <w:p w:rsidR="003A3FA9" w:rsidRPr="00A565DF" w:rsidRDefault="000B7F66" w:rsidP="00012C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Esse indicador </w:t>
      </w:r>
      <w:r w:rsidR="002D0628" w:rsidRPr="00A565DF">
        <w:rPr>
          <w:rFonts w:ascii="Arial" w:hAnsi="Arial" w:cs="Arial"/>
          <w:sz w:val="24"/>
          <w:szCs w:val="24"/>
        </w:rPr>
        <w:t xml:space="preserve">está diretamente ligado </w:t>
      </w:r>
      <w:r w:rsidR="00EE371D" w:rsidRPr="00A565DF">
        <w:rPr>
          <w:rFonts w:ascii="Arial" w:hAnsi="Arial" w:cs="Arial"/>
          <w:sz w:val="24"/>
          <w:szCs w:val="24"/>
        </w:rPr>
        <w:t>à</w:t>
      </w:r>
      <w:r w:rsidR="002D0628" w:rsidRPr="00A565DF">
        <w:rPr>
          <w:rFonts w:ascii="Arial" w:hAnsi="Arial" w:cs="Arial"/>
          <w:sz w:val="24"/>
          <w:szCs w:val="24"/>
        </w:rPr>
        <w:t xml:space="preserve"> média de permanência e a taxa de ocupação institucional, e por isso </w:t>
      </w:r>
      <w:r w:rsidR="00C10014" w:rsidRPr="00A565DF">
        <w:rPr>
          <w:rFonts w:ascii="Arial" w:hAnsi="Arial" w:cs="Arial"/>
          <w:sz w:val="24"/>
          <w:szCs w:val="24"/>
        </w:rPr>
        <w:t>pode sofrer interferência em sua variação.</w:t>
      </w:r>
      <w:r w:rsidR="00EE371D" w:rsidRPr="00A565DF">
        <w:rPr>
          <w:rFonts w:ascii="Arial" w:hAnsi="Arial" w:cs="Arial"/>
          <w:sz w:val="24"/>
          <w:szCs w:val="24"/>
        </w:rPr>
        <w:t xml:space="preserve"> </w:t>
      </w:r>
    </w:p>
    <w:p w:rsidR="00705D4D" w:rsidRPr="00A565DF" w:rsidRDefault="00705D4D" w:rsidP="00705D4D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A565DF">
        <w:rPr>
          <w:rFonts w:ascii="Arial" w:hAnsi="Arial" w:cs="Arial"/>
          <w:shd w:val="clear" w:color="auto" w:fill="FFFFFF"/>
        </w:rPr>
        <w:t xml:space="preserve">Em </w:t>
      </w:r>
      <w:r w:rsidR="00316FCD">
        <w:rPr>
          <w:rFonts w:ascii="Arial" w:hAnsi="Arial" w:cs="Arial"/>
          <w:b/>
          <w:shd w:val="clear" w:color="auto" w:fill="FFFFFF"/>
        </w:rPr>
        <w:t>fevereiro</w:t>
      </w:r>
      <w:r w:rsidR="00316FCD">
        <w:rPr>
          <w:rFonts w:ascii="Arial" w:hAnsi="Arial" w:cs="Arial"/>
          <w:shd w:val="clear" w:color="auto" w:fill="FFFFFF"/>
        </w:rPr>
        <w:t xml:space="preserve"> o HDT obteve 18,8</w:t>
      </w:r>
      <w:r w:rsidRPr="00A565DF">
        <w:rPr>
          <w:rFonts w:ascii="Arial" w:hAnsi="Arial" w:cs="Arial"/>
          <w:shd w:val="clear" w:color="auto" w:fill="FFFFFF"/>
        </w:rPr>
        <w:t xml:space="preserve"> horas, estando dentro do previsto para este indicador, atingindo a meta contratual. </w:t>
      </w:r>
    </w:p>
    <w:p w:rsidR="00D9220F" w:rsidRDefault="00D9220F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Pr="00A565DF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Percentual de Ocorrências de Rejeições no SIH</w:t>
      </w:r>
      <w:r w:rsidR="00CF7112"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≤ 1%</w:t>
      </w: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mede a relação de procedimentos rejeitados no Sistema de Informações Hospitalares em relação ao total de procedimentos apresentados no mesmo Sistema, no período.</w:t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1425" cy="1562100"/>
            <wp:effectExtent l="0" t="0" r="0" b="0"/>
            <wp:docPr id="1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CF4" w:rsidRDefault="00B84CF4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indicador é sempre informado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meses após o mês de referência, devido ao fluxo do </w:t>
      </w:r>
      <w:r w:rsidR="00665152">
        <w:rPr>
          <w:rFonts w:ascii="Arial" w:eastAsia="Times New Roman" w:hAnsi="Arial" w:cs="Arial"/>
          <w:sz w:val="24"/>
          <w:szCs w:val="24"/>
        </w:rPr>
        <w:t>setor de Faturamento para</w:t>
      </w:r>
      <w:r>
        <w:rPr>
          <w:rFonts w:ascii="Arial" w:eastAsia="Times New Roman" w:hAnsi="Arial" w:cs="Arial"/>
          <w:sz w:val="24"/>
          <w:szCs w:val="24"/>
        </w:rPr>
        <w:t xml:space="preserve"> obter os dados</w:t>
      </w:r>
      <w:r w:rsidR="00665152">
        <w:rPr>
          <w:rFonts w:ascii="Arial" w:eastAsia="Times New Roman" w:hAnsi="Arial" w:cs="Arial"/>
          <w:sz w:val="24"/>
          <w:szCs w:val="24"/>
        </w:rPr>
        <w:t xml:space="preserve"> através da Secretaria Municipal de Saúde de Goiânia – SMS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427BC" w:rsidRDefault="006427BC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o indicador analisado o valor </w:t>
      </w:r>
      <w:r w:rsidR="0086043D">
        <w:rPr>
          <w:rFonts w:ascii="Arial" w:eastAsia="Times New Roman" w:hAnsi="Arial" w:cs="Arial"/>
          <w:sz w:val="24"/>
          <w:szCs w:val="24"/>
        </w:rPr>
        <w:t>ficou acima</w:t>
      </w:r>
      <w:r w:rsidR="00CF7112" w:rsidRPr="00A565DF">
        <w:rPr>
          <w:rFonts w:ascii="Arial" w:eastAsia="Times New Roman" w:hAnsi="Arial" w:cs="Arial"/>
          <w:sz w:val="24"/>
          <w:szCs w:val="24"/>
        </w:rPr>
        <w:t xml:space="preserve"> de 1%</w:t>
      </w:r>
      <w:r w:rsidRPr="00A565DF">
        <w:rPr>
          <w:rFonts w:ascii="Arial" w:eastAsia="Times New Roman" w:hAnsi="Arial" w:cs="Arial"/>
          <w:sz w:val="24"/>
          <w:szCs w:val="24"/>
        </w:rPr>
        <w:t xml:space="preserve"> no mês de </w:t>
      </w:r>
      <w:r w:rsidR="0086043D">
        <w:rPr>
          <w:rFonts w:ascii="Arial" w:eastAsia="Times New Roman" w:hAnsi="Arial" w:cs="Arial"/>
          <w:b/>
          <w:sz w:val="24"/>
          <w:szCs w:val="24"/>
        </w:rPr>
        <w:t>fevereiro</w:t>
      </w:r>
      <w:r w:rsidR="0086043D">
        <w:rPr>
          <w:rFonts w:ascii="Arial" w:eastAsia="Times New Roman" w:hAnsi="Arial" w:cs="Arial"/>
          <w:sz w:val="24"/>
          <w:szCs w:val="24"/>
        </w:rPr>
        <w:t>, estando fora d</w:t>
      </w:r>
      <w:r w:rsidRPr="00A565DF">
        <w:rPr>
          <w:rFonts w:ascii="Arial" w:eastAsia="Times New Roman" w:hAnsi="Arial" w:cs="Arial"/>
          <w:sz w:val="24"/>
          <w:szCs w:val="24"/>
        </w:rPr>
        <w:t xml:space="preserve">a meta pactuada. </w:t>
      </w:r>
    </w:p>
    <w:p w:rsidR="006427BC" w:rsidRDefault="006427BC" w:rsidP="00AE4A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Avaliação dos pacientes com relação ao uso racional de medicamentos ≥ 80%</w:t>
      </w:r>
    </w:p>
    <w:p w:rsidR="000B7F66" w:rsidRPr="00A565DF" w:rsidRDefault="000B7F66" w:rsidP="000B7F66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com relação ao Uso Racional de medicamentos é mensurada a partir da Avaliação farmacêutica das prescrições dos pacientes internados na Instituição. Utilizamos um software próprio para evidenciar a avaliação e</w:t>
      </w:r>
      <w:r w:rsidRPr="00A565DF">
        <w:rPr>
          <w:rFonts w:ascii="Arial" w:eastAsia="Times New Roman" w:hAnsi="Arial" w:cs="Arial"/>
          <w:sz w:val="24"/>
          <w:szCs w:val="24"/>
        </w:rPr>
        <w:t xml:space="preserve"> o farmacêutico identifica se a prescrição avaliada apresenta ou não Inconformidades.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No numerador trabalhamos o dado “Número total de pacientes avaliados pelo farmacêutico quanto ao uso racional de medicamentos”. Este dado é composto pela somatória dos seguintes dados: “Prescrição conforme” e “Inconformidades da Prescrição”. 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No denominador “Número</w:t>
      </w:r>
      <w:r w:rsidRPr="00A565DF">
        <w:rPr>
          <w:rFonts w:ascii="Arial" w:hAnsi="Arial" w:cs="Arial"/>
          <w:iCs/>
          <w:sz w:val="24"/>
          <w:szCs w:val="24"/>
        </w:rPr>
        <w:t xml:space="preserve"> total de pacientes atendidos com medicação prescrita</w:t>
      </w:r>
      <w:r w:rsidRPr="00A565DF">
        <w:rPr>
          <w:rFonts w:ascii="Arial" w:hAnsi="Arial" w:cs="Arial"/>
          <w:sz w:val="24"/>
          <w:szCs w:val="24"/>
        </w:rPr>
        <w:t>” utilizamos o indicador denominado “Total geral de paciente dia/ mês”, baseado no dado do Banco de Indicadores da Instituição.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Avaliação técnica da prescrição pelo farmacêutico leva em consideração indicação de uso, dose, posologia, documentos obrigatórios, dentre outros; e permite evitar possíveis eventos adversos em decorrência do uso de medicamento.</w:t>
      </w:r>
    </w:p>
    <w:p w:rsidR="002C6552" w:rsidRPr="00A565DF" w:rsidRDefault="002C6552" w:rsidP="002C655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277558" w:rsidRPr="00A565DF" w:rsidRDefault="00277558" w:rsidP="002C6552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682A29" w:rsidRPr="00A565DF">
        <w:rPr>
          <w:rFonts w:ascii="Arial" w:eastAsia="Times New Roman" w:hAnsi="Arial" w:cs="Arial"/>
          <w:sz w:val="18"/>
          <w:szCs w:val="18"/>
          <w:u w:val="single"/>
        </w:rPr>
        <w:t>Nº total de pacientes avaliados pelo farmacêutico clínico quanto ao uso racional de medicamentos</w:t>
      </w:r>
    </w:p>
    <w:p w:rsidR="00277558" w:rsidRPr="00A565DF" w:rsidRDefault="00682A29" w:rsidP="00682A2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eastAsia="Times New Roman" w:hAnsi="Arial" w:cs="Arial"/>
          <w:sz w:val="18"/>
          <w:szCs w:val="18"/>
        </w:rPr>
        <w:t>Nº total de pacientes atendidos com medicação prescrita</w:t>
      </w:r>
    </w:p>
    <w:p w:rsidR="00682A29" w:rsidRPr="00A565DF" w:rsidRDefault="00682A29" w:rsidP="00682A29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0B7F66" w:rsidRPr="00A565DF" w:rsidRDefault="000B7F66" w:rsidP="000B7F66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124325" cy="1657350"/>
            <wp:effectExtent l="0" t="0" r="0" b="0"/>
            <wp:docPr id="42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6552" w:rsidRPr="00A565DF" w:rsidRDefault="002C6552" w:rsidP="002C65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060DAE">
        <w:rPr>
          <w:rFonts w:ascii="Arial" w:hAnsi="Arial" w:cs="Arial"/>
          <w:b/>
          <w:sz w:val="24"/>
          <w:szCs w:val="24"/>
        </w:rPr>
        <w:t>fevereiro</w:t>
      </w:r>
      <w:r w:rsidRPr="00A565DF">
        <w:rPr>
          <w:rFonts w:ascii="Arial" w:hAnsi="Arial" w:cs="Arial"/>
          <w:sz w:val="24"/>
          <w:szCs w:val="24"/>
        </w:rPr>
        <w:t xml:space="preserve"> o indicador esteve dentro do valor previsto para essa atividade, atingindo a meta em sua totalidade. </w:t>
      </w:r>
    </w:p>
    <w:p w:rsidR="00C3530E" w:rsidRPr="00A565DF" w:rsidRDefault="00C3530E" w:rsidP="00C3530E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530E" w:rsidRPr="00A565DF" w:rsidRDefault="00C3530E" w:rsidP="000B7F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</w:t>
      </w:r>
      <w:r w:rsidR="00F76E6C" w:rsidRPr="00A565DF">
        <w:rPr>
          <w:rFonts w:ascii="Arial" w:hAnsi="Arial" w:cs="Arial"/>
          <w:b/>
          <w:color w:val="1F497D" w:themeColor="text2"/>
          <w:sz w:val="24"/>
          <w:szCs w:val="24"/>
        </w:rPr>
        <w:t>valiação de reações adversas a M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edicamentos</w:t>
      </w:r>
      <w:r w:rsidR="001F09D2">
        <w:rPr>
          <w:rFonts w:ascii="Arial" w:hAnsi="Arial" w:cs="Arial"/>
          <w:b/>
          <w:color w:val="1F497D" w:themeColor="text2"/>
          <w:sz w:val="24"/>
          <w:szCs w:val="24"/>
        </w:rPr>
        <w:t xml:space="preserve"> - 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RAM quanto </w:t>
      </w: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gravidade ≥ 70%</w:t>
      </w:r>
    </w:p>
    <w:p w:rsidR="00682A29" w:rsidRPr="00A565DF" w:rsidRDefault="00682A29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relacionada à avaliação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é realizada no HDT a partir da metodologia de Ferramenta de Rastreamento Global do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Institute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Healthcare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Improvement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(IHI) para a Medição de Eventos Adversos, onde </w:t>
      </w:r>
      <w:proofErr w:type="gramStart"/>
      <w:r w:rsidRPr="00A565DF">
        <w:rPr>
          <w:rFonts w:ascii="Arial" w:eastAsia="Times New Roman" w:hAnsi="Arial" w:cs="Arial"/>
          <w:sz w:val="24"/>
          <w:szCs w:val="24"/>
        </w:rPr>
        <w:t>utiliza-se</w:t>
      </w:r>
      <w:proofErr w:type="gramEnd"/>
      <w:r w:rsidRPr="00A565DF">
        <w:rPr>
          <w:rFonts w:ascii="Arial" w:eastAsia="Times New Roman" w:hAnsi="Arial" w:cs="Arial"/>
          <w:sz w:val="24"/>
          <w:szCs w:val="24"/>
        </w:rPr>
        <w:t xml:space="preserve"> medicamentos rastreadores ou “medicamentos gatilhos”. 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Elencamos como medicamentos rastreadores àqueles a base da substância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Anfotericina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devido ao grande consumo na instituição e grande probabilidade de ocorrência de reações adversas.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análise verificamos os pacientes em uso dos medicamentos rastreadores e se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foram observadas. Essas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são avaliadas quanto a </w:t>
      </w:r>
      <w:r w:rsidRPr="00A565DF">
        <w:rPr>
          <w:rFonts w:ascii="Arial" w:eastAsia="Times New Roman" w:hAnsi="Arial" w:cs="Arial"/>
          <w:sz w:val="24"/>
          <w:szCs w:val="24"/>
        </w:rPr>
        <w:lastRenderedPageBreak/>
        <w:t xml:space="preserve">sua Causalidade e Gravidade, através do Algoritmo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Naranjo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e Classificação de gravidade de evento adverso do Ministério da Saúde (MS), respectivamente. </w:t>
      </w:r>
    </w:p>
    <w:p w:rsidR="00755DFD" w:rsidRPr="00A565DF" w:rsidRDefault="00755DFD" w:rsidP="00682A2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82A29" w:rsidRPr="00A565DF" w:rsidRDefault="00682A29" w:rsidP="00682A2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AA247D"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AA247D" w:rsidRPr="00A565DF">
        <w:rPr>
          <w:rFonts w:ascii="Arial" w:hAnsi="Arial" w:cs="Arial"/>
          <w:i/>
          <w:sz w:val="18"/>
          <w:szCs w:val="18"/>
          <w:shd w:val="clear" w:color="auto" w:fill="FFFFFF"/>
        </w:rPr>
        <w:t>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>Nº</w:t>
      </w:r>
      <w:r w:rsidR="00AA247D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RAM avaliadas quanto à gravidade________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</w:p>
    <w:p w:rsidR="00682A29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 xml:space="preserve">           </w:t>
      </w:r>
      <w:r w:rsidR="00682A29" w:rsidRPr="00A565DF">
        <w:rPr>
          <w:rFonts w:ascii="Arial" w:eastAsia="Times New Roman" w:hAnsi="Arial" w:cs="Arial"/>
          <w:i/>
          <w:sz w:val="18"/>
          <w:szCs w:val="18"/>
        </w:rPr>
        <w:t xml:space="preserve">Nº total de pacientes 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identificados com RAM </w:t>
      </w:r>
    </w:p>
    <w:p w:rsidR="00AA247D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682A29" w:rsidRPr="00A565DF" w:rsidRDefault="00AA247D" w:rsidP="00AA247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4067175" cy="1657350"/>
            <wp:effectExtent l="0" t="0" r="0" b="0"/>
            <wp:docPr id="43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6C72" w:rsidRPr="00A565DF" w:rsidRDefault="00DB6C72" w:rsidP="00DB6C7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32EFD" w:rsidRPr="00702F31" w:rsidRDefault="00193347" w:rsidP="00702F31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565DF">
        <w:rPr>
          <w:rFonts w:ascii="Arial" w:hAnsi="Arial" w:cs="Arial"/>
        </w:rPr>
        <w:t>No mês de</w:t>
      </w:r>
      <w:r w:rsidR="00DE09B9">
        <w:rPr>
          <w:rFonts w:ascii="Arial" w:hAnsi="Arial" w:cs="Arial"/>
        </w:rPr>
        <w:t xml:space="preserve"> </w:t>
      </w:r>
      <w:r w:rsidR="004F0F19">
        <w:rPr>
          <w:rFonts w:ascii="Arial" w:hAnsi="Arial" w:cs="Arial"/>
          <w:b/>
        </w:rPr>
        <w:t>fevereiro</w:t>
      </w:r>
      <w:r w:rsidRPr="00A565DF">
        <w:rPr>
          <w:rFonts w:ascii="Arial" w:hAnsi="Arial" w:cs="Arial"/>
        </w:rPr>
        <w:t xml:space="preserve"> este indicador esteve dentro do valor previsto para essa atividade, atingindo a meta em sua totalidade. </w:t>
      </w: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678F" w:rsidRPr="00A565DF" w:rsidRDefault="00F0678F" w:rsidP="00670613">
      <w:pPr>
        <w:spacing w:after="0" w:line="360" w:lineRule="auto"/>
        <w:ind w:left="-993"/>
        <w:rPr>
          <w:rFonts w:ascii="Arial" w:hAnsi="Arial" w:cs="Arial"/>
          <w:b/>
          <w:color w:val="FF0000"/>
          <w:sz w:val="24"/>
          <w:szCs w:val="24"/>
        </w:rPr>
      </w:pPr>
    </w:p>
    <w:p w:rsidR="00337DC2" w:rsidRPr="00A565DF" w:rsidRDefault="00337DC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D044B" w:rsidRPr="00A565DF" w:rsidRDefault="001D044B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670613" w:rsidRPr="00A565DF" w:rsidSect="000A47ED">
      <w:headerReference w:type="default" r:id="rId21"/>
      <w:footerReference w:type="default" r:id="rId22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19" w:rsidRDefault="004F0F19" w:rsidP="009B5447">
      <w:pPr>
        <w:spacing w:after="0" w:line="240" w:lineRule="auto"/>
      </w:pPr>
      <w:r>
        <w:separator/>
      </w:r>
    </w:p>
  </w:endnote>
  <w:endnote w:type="continuationSeparator" w:id="0">
    <w:p w:rsidR="004F0F19" w:rsidRDefault="004F0F19" w:rsidP="009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85036"/>
      <w:docPartObj>
        <w:docPartGallery w:val="Page Numbers (Bottom of Page)"/>
        <w:docPartUnique/>
      </w:docPartObj>
    </w:sdtPr>
    <w:sdtContent>
      <w:p w:rsidR="004F0F19" w:rsidRDefault="004F0F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0F19" w:rsidRDefault="004F0F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19" w:rsidRDefault="004F0F19" w:rsidP="009B5447">
      <w:pPr>
        <w:spacing w:after="0" w:line="240" w:lineRule="auto"/>
      </w:pPr>
      <w:r>
        <w:separator/>
      </w:r>
    </w:p>
  </w:footnote>
  <w:footnote w:type="continuationSeparator" w:id="0">
    <w:p w:rsidR="004F0F19" w:rsidRDefault="004F0F19" w:rsidP="009B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19" w:rsidRDefault="004F0F1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3" name="Imagem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F19" w:rsidRDefault="004F0F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19" w:rsidRDefault="004F0F1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4" name="Imagem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F19" w:rsidRDefault="004F0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55"/>
    <w:multiLevelType w:val="hybridMultilevel"/>
    <w:tmpl w:val="4198EF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B100B"/>
    <w:multiLevelType w:val="hybridMultilevel"/>
    <w:tmpl w:val="901E5940"/>
    <w:lvl w:ilvl="0" w:tplc="51C097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C1C9B"/>
    <w:multiLevelType w:val="multilevel"/>
    <w:tmpl w:val="0D142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360832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6B3FD1"/>
    <w:multiLevelType w:val="hybridMultilevel"/>
    <w:tmpl w:val="456E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70F"/>
    <w:multiLevelType w:val="hybridMultilevel"/>
    <w:tmpl w:val="272E7AB2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184"/>
    <w:multiLevelType w:val="hybridMultilevel"/>
    <w:tmpl w:val="DB303D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8037C3"/>
    <w:multiLevelType w:val="hybridMultilevel"/>
    <w:tmpl w:val="21284102"/>
    <w:lvl w:ilvl="0" w:tplc="0CC0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594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BE518A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6F3CFD"/>
    <w:multiLevelType w:val="hybridMultilevel"/>
    <w:tmpl w:val="FBBAADC8"/>
    <w:lvl w:ilvl="0" w:tplc="54F805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13CE0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836B47"/>
    <w:multiLevelType w:val="hybridMultilevel"/>
    <w:tmpl w:val="AB0A34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74BC3"/>
    <w:multiLevelType w:val="hybridMultilevel"/>
    <w:tmpl w:val="2294F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F2C"/>
    <w:multiLevelType w:val="hybridMultilevel"/>
    <w:tmpl w:val="2A56B3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20C66"/>
    <w:multiLevelType w:val="hybridMultilevel"/>
    <w:tmpl w:val="C5F8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656"/>
    <w:multiLevelType w:val="hybridMultilevel"/>
    <w:tmpl w:val="FD36C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478"/>
    <w:multiLevelType w:val="hybridMultilevel"/>
    <w:tmpl w:val="6ECA9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38C"/>
    <w:multiLevelType w:val="hybridMultilevel"/>
    <w:tmpl w:val="51361BF2"/>
    <w:lvl w:ilvl="0" w:tplc="F61C3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7D1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6986507"/>
    <w:multiLevelType w:val="multilevel"/>
    <w:tmpl w:val="673A7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EC6414B"/>
    <w:multiLevelType w:val="hybridMultilevel"/>
    <w:tmpl w:val="4724B3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21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7"/>
    <w:rsid w:val="00001479"/>
    <w:rsid w:val="00005B31"/>
    <w:rsid w:val="0001256A"/>
    <w:rsid w:val="00012C1E"/>
    <w:rsid w:val="00014395"/>
    <w:rsid w:val="000305F7"/>
    <w:rsid w:val="000320EC"/>
    <w:rsid w:val="00037CA6"/>
    <w:rsid w:val="000412D2"/>
    <w:rsid w:val="00041579"/>
    <w:rsid w:val="00047620"/>
    <w:rsid w:val="000548D3"/>
    <w:rsid w:val="0005522C"/>
    <w:rsid w:val="00055927"/>
    <w:rsid w:val="00060DAE"/>
    <w:rsid w:val="00063E3E"/>
    <w:rsid w:val="000703AB"/>
    <w:rsid w:val="00077036"/>
    <w:rsid w:val="00077AE1"/>
    <w:rsid w:val="00085DDA"/>
    <w:rsid w:val="0008643C"/>
    <w:rsid w:val="000A47ED"/>
    <w:rsid w:val="000A6838"/>
    <w:rsid w:val="000B413C"/>
    <w:rsid w:val="000B7F66"/>
    <w:rsid w:val="000C0B1D"/>
    <w:rsid w:val="000D0A29"/>
    <w:rsid w:val="000D0EE8"/>
    <w:rsid w:val="000D211E"/>
    <w:rsid w:val="000D6F93"/>
    <w:rsid w:val="000D785D"/>
    <w:rsid w:val="000E240F"/>
    <w:rsid w:val="000E3599"/>
    <w:rsid w:val="000E737C"/>
    <w:rsid w:val="00104CC4"/>
    <w:rsid w:val="001063FB"/>
    <w:rsid w:val="001130C2"/>
    <w:rsid w:val="001131D6"/>
    <w:rsid w:val="001146E7"/>
    <w:rsid w:val="0011567F"/>
    <w:rsid w:val="00130116"/>
    <w:rsid w:val="00134C3B"/>
    <w:rsid w:val="001363F4"/>
    <w:rsid w:val="00136F85"/>
    <w:rsid w:val="00137E52"/>
    <w:rsid w:val="00141F99"/>
    <w:rsid w:val="0014330D"/>
    <w:rsid w:val="00147152"/>
    <w:rsid w:val="00147164"/>
    <w:rsid w:val="00151AD5"/>
    <w:rsid w:val="00153B10"/>
    <w:rsid w:val="001564ED"/>
    <w:rsid w:val="00157CAD"/>
    <w:rsid w:val="00160C6E"/>
    <w:rsid w:val="00161CBB"/>
    <w:rsid w:val="0016753B"/>
    <w:rsid w:val="0017315C"/>
    <w:rsid w:val="00175141"/>
    <w:rsid w:val="00176E0A"/>
    <w:rsid w:val="00184FAC"/>
    <w:rsid w:val="001904B2"/>
    <w:rsid w:val="00193347"/>
    <w:rsid w:val="0019433C"/>
    <w:rsid w:val="00196172"/>
    <w:rsid w:val="00197C16"/>
    <w:rsid w:val="001C398B"/>
    <w:rsid w:val="001D014F"/>
    <w:rsid w:val="001D044B"/>
    <w:rsid w:val="001D4788"/>
    <w:rsid w:val="001D4815"/>
    <w:rsid w:val="001E0510"/>
    <w:rsid w:val="001F09D2"/>
    <w:rsid w:val="00200923"/>
    <w:rsid w:val="00210B32"/>
    <w:rsid w:val="002111D2"/>
    <w:rsid w:val="00237458"/>
    <w:rsid w:val="002432D9"/>
    <w:rsid w:val="0025705F"/>
    <w:rsid w:val="00261CAF"/>
    <w:rsid w:val="0027744B"/>
    <w:rsid w:val="00277558"/>
    <w:rsid w:val="002829DC"/>
    <w:rsid w:val="00285CAE"/>
    <w:rsid w:val="002A2CA9"/>
    <w:rsid w:val="002A4726"/>
    <w:rsid w:val="002C6552"/>
    <w:rsid w:val="002D0628"/>
    <w:rsid w:val="002D18FF"/>
    <w:rsid w:val="002D6C53"/>
    <w:rsid w:val="002E1513"/>
    <w:rsid w:val="002E1A7C"/>
    <w:rsid w:val="002E4C90"/>
    <w:rsid w:val="002F5143"/>
    <w:rsid w:val="003101E0"/>
    <w:rsid w:val="00312642"/>
    <w:rsid w:val="00314AFE"/>
    <w:rsid w:val="00316FCD"/>
    <w:rsid w:val="00323913"/>
    <w:rsid w:val="00330B11"/>
    <w:rsid w:val="00331A15"/>
    <w:rsid w:val="00337DC2"/>
    <w:rsid w:val="003410DD"/>
    <w:rsid w:val="0034152E"/>
    <w:rsid w:val="00344CC1"/>
    <w:rsid w:val="00351A65"/>
    <w:rsid w:val="00352DC4"/>
    <w:rsid w:val="0035474B"/>
    <w:rsid w:val="00354CDB"/>
    <w:rsid w:val="00355AA3"/>
    <w:rsid w:val="00364925"/>
    <w:rsid w:val="00371D05"/>
    <w:rsid w:val="00373764"/>
    <w:rsid w:val="00396A0F"/>
    <w:rsid w:val="003A3FA9"/>
    <w:rsid w:val="003B7143"/>
    <w:rsid w:val="003C38A2"/>
    <w:rsid w:val="003C4F69"/>
    <w:rsid w:val="003D09F0"/>
    <w:rsid w:val="003D1203"/>
    <w:rsid w:val="003D22D9"/>
    <w:rsid w:val="003D46F1"/>
    <w:rsid w:val="003D6C5B"/>
    <w:rsid w:val="003E34AD"/>
    <w:rsid w:val="003F18B8"/>
    <w:rsid w:val="00403D5C"/>
    <w:rsid w:val="004072B3"/>
    <w:rsid w:val="0041174D"/>
    <w:rsid w:val="00412042"/>
    <w:rsid w:val="00413FBE"/>
    <w:rsid w:val="00414848"/>
    <w:rsid w:val="004152CB"/>
    <w:rsid w:val="00415B8F"/>
    <w:rsid w:val="00424D5B"/>
    <w:rsid w:val="00430FF8"/>
    <w:rsid w:val="00454B84"/>
    <w:rsid w:val="00465278"/>
    <w:rsid w:val="00470F00"/>
    <w:rsid w:val="0048478B"/>
    <w:rsid w:val="00491E6D"/>
    <w:rsid w:val="00492D90"/>
    <w:rsid w:val="004945E2"/>
    <w:rsid w:val="004A039C"/>
    <w:rsid w:val="004A6816"/>
    <w:rsid w:val="004B096C"/>
    <w:rsid w:val="004C05B2"/>
    <w:rsid w:val="004C104C"/>
    <w:rsid w:val="004C5824"/>
    <w:rsid w:val="004C6117"/>
    <w:rsid w:val="004D2CEC"/>
    <w:rsid w:val="004F0E4F"/>
    <w:rsid w:val="004F0F19"/>
    <w:rsid w:val="00501BDD"/>
    <w:rsid w:val="00502425"/>
    <w:rsid w:val="00502A30"/>
    <w:rsid w:val="00510B83"/>
    <w:rsid w:val="00511610"/>
    <w:rsid w:val="005130EE"/>
    <w:rsid w:val="00514284"/>
    <w:rsid w:val="00514ED0"/>
    <w:rsid w:val="0052374D"/>
    <w:rsid w:val="0053144C"/>
    <w:rsid w:val="005346CA"/>
    <w:rsid w:val="00536052"/>
    <w:rsid w:val="0054036C"/>
    <w:rsid w:val="00541111"/>
    <w:rsid w:val="00546FE2"/>
    <w:rsid w:val="00555219"/>
    <w:rsid w:val="00571B6A"/>
    <w:rsid w:val="00582E5E"/>
    <w:rsid w:val="005961BB"/>
    <w:rsid w:val="0059725D"/>
    <w:rsid w:val="005A0371"/>
    <w:rsid w:val="005B2F55"/>
    <w:rsid w:val="005B36EA"/>
    <w:rsid w:val="005B6D25"/>
    <w:rsid w:val="005D141A"/>
    <w:rsid w:val="005D42EC"/>
    <w:rsid w:val="005D5AD6"/>
    <w:rsid w:val="005F0025"/>
    <w:rsid w:val="005F09FE"/>
    <w:rsid w:val="005F295C"/>
    <w:rsid w:val="005F5621"/>
    <w:rsid w:val="006047E6"/>
    <w:rsid w:val="00604F9F"/>
    <w:rsid w:val="00612978"/>
    <w:rsid w:val="006250B8"/>
    <w:rsid w:val="0063176D"/>
    <w:rsid w:val="00634BD9"/>
    <w:rsid w:val="006427BC"/>
    <w:rsid w:val="00652B09"/>
    <w:rsid w:val="00652E9A"/>
    <w:rsid w:val="00661A8C"/>
    <w:rsid w:val="00665152"/>
    <w:rsid w:val="00667255"/>
    <w:rsid w:val="00667458"/>
    <w:rsid w:val="00670613"/>
    <w:rsid w:val="00672C42"/>
    <w:rsid w:val="00672EC9"/>
    <w:rsid w:val="00680652"/>
    <w:rsid w:val="00682A29"/>
    <w:rsid w:val="00682D93"/>
    <w:rsid w:val="00690AA7"/>
    <w:rsid w:val="006A1A76"/>
    <w:rsid w:val="006A3273"/>
    <w:rsid w:val="006A47B7"/>
    <w:rsid w:val="006B5F47"/>
    <w:rsid w:val="006B7D27"/>
    <w:rsid w:val="006C0334"/>
    <w:rsid w:val="006C72CA"/>
    <w:rsid w:val="006E09DD"/>
    <w:rsid w:val="006E1D7C"/>
    <w:rsid w:val="006F0F94"/>
    <w:rsid w:val="006F109A"/>
    <w:rsid w:val="00701738"/>
    <w:rsid w:val="00701DC8"/>
    <w:rsid w:val="00702F31"/>
    <w:rsid w:val="00703ADE"/>
    <w:rsid w:val="00705D4D"/>
    <w:rsid w:val="00716A20"/>
    <w:rsid w:val="00717FA9"/>
    <w:rsid w:val="007215D2"/>
    <w:rsid w:val="007252AE"/>
    <w:rsid w:val="00727FBB"/>
    <w:rsid w:val="00731A1C"/>
    <w:rsid w:val="0073465C"/>
    <w:rsid w:val="00740FE1"/>
    <w:rsid w:val="007440FE"/>
    <w:rsid w:val="0075359B"/>
    <w:rsid w:val="00754E30"/>
    <w:rsid w:val="00755DFD"/>
    <w:rsid w:val="0075739B"/>
    <w:rsid w:val="00757E11"/>
    <w:rsid w:val="0076071D"/>
    <w:rsid w:val="00762543"/>
    <w:rsid w:val="007720F4"/>
    <w:rsid w:val="00782864"/>
    <w:rsid w:val="00785361"/>
    <w:rsid w:val="00794EDD"/>
    <w:rsid w:val="007975D9"/>
    <w:rsid w:val="00797F44"/>
    <w:rsid w:val="007B695E"/>
    <w:rsid w:val="007C2A0E"/>
    <w:rsid w:val="007C4756"/>
    <w:rsid w:val="007D52E4"/>
    <w:rsid w:val="007E5218"/>
    <w:rsid w:val="007F184A"/>
    <w:rsid w:val="007F1FC6"/>
    <w:rsid w:val="007F3083"/>
    <w:rsid w:val="007F6363"/>
    <w:rsid w:val="00801DEF"/>
    <w:rsid w:val="008063CA"/>
    <w:rsid w:val="008150EB"/>
    <w:rsid w:val="0081720B"/>
    <w:rsid w:val="00826A6E"/>
    <w:rsid w:val="0083591D"/>
    <w:rsid w:val="0084621F"/>
    <w:rsid w:val="00847534"/>
    <w:rsid w:val="00847743"/>
    <w:rsid w:val="008530EE"/>
    <w:rsid w:val="00854CF2"/>
    <w:rsid w:val="0085601D"/>
    <w:rsid w:val="0086043D"/>
    <w:rsid w:val="00860CAB"/>
    <w:rsid w:val="008642A1"/>
    <w:rsid w:val="00866275"/>
    <w:rsid w:val="00867AB1"/>
    <w:rsid w:val="00870A2D"/>
    <w:rsid w:val="00887923"/>
    <w:rsid w:val="00896CCD"/>
    <w:rsid w:val="00897B7F"/>
    <w:rsid w:val="008A2BAC"/>
    <w:rsid w:val="008A4D59"/>
    <w:rsid w:val="008C25AC"/>
    <w:rsid w:val="008C3105"/>
    <w:rsid w:val="008C5915"/>
    <w:rsid w:val="008D29B1"/>
    <w:rsid w:val="008E0811"/>
    <w:rsid w:val="008E27B8"/>
    <w:rsid w:val="008F1EF3"/>
    <w:rsid w:val="008F2141"/>
    <w:rsid w:val="008F33A5"/>
    <w:rsid w:val="0090652F"/>
    <w:rsid w:val="00913666"/>
    <w:rsid w:val="00916A50"/>
    <w:rsid w:val="009253ED"/>
    <w:rsid w:val="00932EFD"/>
    <w:rsid w:val="00946E2F"/>
    <w:rsid w:val="009569B7"/>
    <w:rsid w:val="00964BCE"/>
    <w:rsid w:val="00972759"/>
    <w:rsid w:val="009731AF"/>
    <w:rsid w:val="009757D9"/>
    <w:rsid w:val="00985619"/>
    <w:rsid w:val="00985830"/>
    <w:rsid w:val="009A1E5D"/>
    <w:rsid w:val="009A6E2B"/>
    <w:rsid w:val="009B0AB6"/>
    <w:rsid w:val="009B0ABA"/>
    <w:rsid w:val="009B25D6"/>
    <w:rsid w:val="009B3F62"/>
    <w:rsid w:val="009B5447"/>
    <w:rsid w:val="009C1582"/>
    <w:rsid w:val="009C1EF5"/>
    <w:rsid w:val="009C5172"/>
    <w:rsid w:val="009D5909"/>
    <w:rsid w:val="009E2E13"/>
    <w:rsid w:val="009E7309"/>
    <w:rsid w:val="009F0C0A"/>
    <w:rsid w:val="00A00E18"/>
    <w:rsid w:val="00A02E39"/>
    <w:rsid w:val="00A05009"/>
    <w:rsid w:val="00A27E0F"/>
    <w:rsid w:val="00A40A0F"/>
    <w:rsid w:val="00A43D53"/>
    <w:rsid w:val="00A500F9"/>
    <w:rsid w:val="00A53655"/>
    <w:rsid w:val="00A565DF"/>
    <w:rsid w:val="00A57EE1"/>
    <w:rsid w:val="00A661D2"/>
    <w:rsid w:val="00A7132A"/>
    <w:rsid w:val="00A72AE1"/>
    <w:rsid w:val="00A737BF"/>
    <w:rsid w:val="00A759B9"/>
    <w:rsid w:val="00A907EC"/>
    <w:rsid w:val="00A9142E"/>
    <w:rsid w:val="00A9411E"/>
    <w:rsid w:val="00A956FB"/>
    <w:rsid w:val="00A96138"/>
    <w:rsid w:val="00A96E4C"/>
    <w:rsid w:val="00A974F2"/>
    <w:rsid w:val="00AA002C"/>
    <w:rsid w:val="00AA136F"/>
    <w:rsid w:val="00AA1E86"/>
    <w:rsid w:val="00AA247D"/>
    <w:rsid w:val="00AA49E1"/>
    <w:rsid w:val="00AB204C"/>
    <w:rsid w:val="00AB58F5"/>
    <w:rsid w:val="00AD0651"/>
    <w:rsid w:val="00AD4182"/>
    <w:rsid w:val="00AE048A"/>
    <w:rsid w:val="00AE4A04"/>
    <w:rsid w:val="00AF47D9"/>
    <w:rsid w:val="00AF48A2"/>
    <w:rsid w:val="00AF7E36"/>
    <w:rsid w:val="00B1044C"/>
    <w:rsid w:val="00B169A5"/>
    <w:rsid w:val="00B2200C"/>
    <w:rsid w:val="00B2353E"/>
    <w:rsid w:val="00B27B65"/>
    <w:rsid w:val="00B37D5D"/>
    <w:rsid w:val="00B4764F"/>
    <w:rsid w:val="00B50E84"/>
    <w:rsid w:val="00B51DAA"/>
    <w:rsid w:val="00B542C8"/>
    <w:rsid w:val="00B574D2"/>
    <w:rsid w:val="00B6256E"/>
    <w:rsid w:val="00B6475A"/>
    <w:rsid w:val="00B7346D"/>
    <w:rsid w:val="00B82CD1"/>
    <w:rsid w:val="00B84CF4"/>
    <w:rsid w:val="00B869B0"/>
    <w:rsid w:val="00B92F07"/>
    <w:rsid w:val="00BB3289"/>
    <w:rsid w:val="00BB51FB"/>
    <w:rsid w:val="00BC14AC"/>
    <w:rsid w:val="00BC4FD4"/>
    <w:rsid w:val="00BC518F"/>
    <w:rsid w:val="00BC547F"/>
    <w:rsid w:val="00BC6926"/>
    <w:rsid w:val="00BD605D"/>
    <w:rsid w:val="00BD6988"/>
    <w:rsid w:val="00BE1E66"/>
    <w:rsid w:val="00BF4C94"/>
    <w:rsid w:val="00C019CF"/>
    <w:rsid w:val="00C10014"/>
    <w:rsid w:val="00C1244C"/>
    <w:rsid w:val="00C151F6"/>
    <w:rsid w:val="00C341FF"/>
    <w:rsid w:val="00C3423D"/>
    <w:rsid w:val="00C3530E"/>
    <w:rsid w:val="00C41164"/>
    <w:rsid w:val="00C42D6F"/>
    <w:rsid w:val="00C54F9A"/>
    <w:rsid w:val="00C55D7C"/>
    <w:rsid w:val="00C61ABA"/>
    <w:rsid w:val="00C64967"/>
    <w:rsid w:val="00C6718E"/>
    <w:rsid w:val="00C67787"/>
    <w:rsid w:val="00C77A95"/>
    <w:rsid w:val="00C77FBA"/>
    <w:rsid w:val="00C80908"/>
    <w:rsid w:val="00C85F76"/>
    <w:rsid w:val="00C918ED"/>
    <w:rsid w:val="00CB2EF5"/>
    <w:rsid w:val="00CB5877"/>
    <w:rsid w:val="00CC5C86"/>
    <w:rsid w:val="00CC6068"/>
    <w:rsid w:val="00CC7C7E"/>
    <w:rsid w:val="00CD00A5"/>
    <w:rsid w:val="00CD60D8"/>
    <w:rsid w:val="00CE3A9C"/>
    <w:rsid w:val="00CF10B0"/>
    <w:rsid w:val="00CF3F93"/>
    <w:rsid w:val="00CF4D95"/>
    <w:rsid w:val="00CF7112"/>
    <w:rsid w:val="00D01A7B"/>
    <w:rsid w:val="00D0641E"/>
    <w:rsid w:val="00D10772"/>
    <w:rsid w:val="00D12BAE"/>
    <w:rsid w:val="00D16654"/>
    <w:rsid w:val="00D2469C"/>
    <w:rsid w:val="00D30F98"/>
    <w:rsid w:val="00D46358"/>
    <w:rsid w:val="00D55C23"/>
    <w:rsid w:val="00D61557"/>
    <w:rsid w:val="00D63D5D"/>
    <w:rsid w:val="00D65AC0"/>
    <w:rsid w:val="00D749E2"/>
    <w:rsid w:val="00D74D22"/>
    <w:rsid w:val="00D7524A"/>
    <w:rsid w:val="00D8141C"/>
    <w:rsid w:val="00D8782F"/>
    <w:rsid w:val="00D91309"/>
    <w:rsid w:val="00D92144"/>
    <w:rsid w:val="00D9220F"/>
    <w:rsid w:val="00D97EF1"/>
    <w:rsid w:val="00DA2525"/>
    <w:rsid w:val="00DA25E6"/>
    <w:rsid w:val="00DB3E31"/>
    <w:rsid w:val="00DB5EAB"/>
    <w:rsid w:val="00DB6C72"/>
    <w:rsid w:val="00DC0D0B"/>
    <w:rsid w:val="00DC194B"/>
    <w:rsid w:val="00DC217F"/>
    <w:rsid w:val="00DC394E"/>
    <w:rsid w:val="00DC4704"/>
    <w:rsid w:val="00DC47FA"/>
    <w:rsid w:val="00DE09B9"/>
    <w:rsid w:val="00DE6A54"/>
    <w:rsid w:val="00DF0E8F"/>
    <w:rsid w:val="00E10E13"/>
    <w:rsid w:val="00E132A6"/>
    <w:rsid w:val="00E214C7"/>
    <w:rsid w:val="00E24754"/>
    <w:rsid w:val="00E24BC1"/>
    <w:rsid w:val="00E24BD1"/>
    <w:rsid w:val="00E25B1F"/>
    <w:rsid w:val="00E35F48"/>
    <w:rsid w:val="00E3786C"/>
    <w:rsid w:val="00E4122C"/>
    <w:rsid w:val="00E47CDE"/>
    <w:rsid w:val="00E5308F"/>
    <w:rsid w:val="00E5648D"/>
    <w:rsid w:val="00E604CA"/>
    <w:rsid w:val="00E6076C"/>
    <w:rsid w:val="00E65EC9"/>
    <w:rsid w:val="00E67B69"/>
    <w:rsid w:val="00E74677"/>
    <w:rsid w:val="00E817EB"/>
    <w:rsid w:val="00E86EA4"/>
    <w:rsid w:val="00EA4AD5"/>
    <w:rsid w:val="00EB69CD"/>
    <w:rsid w:val="00EB7825"/>
    <w:rsid w:val="00EC5D46"/>
    <w:rsid w:val="00ED0CC5"/>
    <w:rsid w:val="00ED1E6A"/>
    <w:rsid w:val="00EE0611"/>
    <w:rsid w:val="00EE371D"/>
    <w:rsid w:val="00EE3EC5"/>
    <w:rsid w:val="00EE47C1"/>
    <w:rsid w:val="00EF33BE"/>
    <w:rsid w:val="00F06204"/>
    <w:rsid w:val="00F0678F"/>
    <w:rsid w:val="00F07300"/>
    <w:rsid w:val="00F10525"/>
    <w:rsid w:val="00F121DE"/>
    <w:rsid w:val="00F12235"/>
    <w:rsid w:val="00F211E8"/>
    <w:rsid w:val="00F23835"/>
    <w:rsid w:val="00F24FB8"/>
    <w:rsid w:val="00F26452"/>
    <w:rsid w:val="00F33C46"/>
    <w:rsid w:val="00F41759"/>
    <w:rsid w:val="00F467BB"/>
    <w:rsid w:val="00F477EE"/>
    <w:rsid w:val="00F713D6"/>
    <w:rsid w:val="00F71E8F"/>
    <w:rsid w:val="00F7550D"/>
    <w:rsid w:val="00F75B4C"/>
    <w:rsid w:val="00F76E6C"/>
    <w:rsid w:val="00F8009A"/>
    <w:rsid w:val="00F87A2C"/>
    <w:rsid w:val="00F91CC4"/>
    <w:rsid w:val="00F95E35"/>
    <w:rsid w:val="00F96D7B"/>
    <w:rsid w:val="00FA552F"/>
    <w:rsid w:val="00FB75A2"/>
    <w:rsid w:val="00FD789D"/>
    <w:rsid w:val="00FD7AA6"/>
    <w:rsid w:val="00FF6DF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Número de leitos / Unidade de Internação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UTI Adulto</c:v>
                </c:pt>
                <c:pt idx="1">
                  <c:v>UTI Pediátrica</c:v>
                </c:pt>
                <c:pt idx="2">
                  <c:v>UTI COVID </c:v>
                </c:pt>
                <c:pt idx="3">
                  <c:v>Emergência </c:v>
                </c:pt>
                <c:pt idx="4">
                  <c:v>U.I. Adulto</c:v>
                </c:pt>
                <c:pt idx="5">
                  <c:v>U.I. Pediátrica </c:v>
                </c:pt>
                <c:pt idx="6">
                  <c:v>Hospital Dia </c:v>
                </c:pt>
                <c:pt idx="7">
                  <c:v>Total 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  <c:pt idx="4">
                  <c:v>71</c:v>
                </c:pt>
                <c:pt idx="5">
                  <c:v>11</c:v>
                </c:pt>
                <c:pt idx="6">
                  <c:v>10</c:v>
                </c:pt>
                <c:pt idx="7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72128"/>
        <c:axId val="68273664"/>
      </c:barChart>
      <c:catAx>
        <c:axId val="6827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68273664"/>
        <c:crosses val="autoZero"/>
        <c:auto val="1"/>
        <c:lblAlgn val="ctr"/>
        <c:lblOffset val="100"/>
        <c:noMultiLvlLbl val="0"/>
      </c:catAx>
      <c:valAx>
        <c:axId val="68273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27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Uso Racional de Medicamentos - Fevereiro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0.84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29120"/>
        <c:axId val="71529216"/>
      </c:barChart>
      <c:catAx>
        <c:axId val="714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71529216"/>
        <c:crosses val="autoZero"/>
        <c:auto val="1"/>
        <c:lblAlgn val="ctr"/>
        <c:lblOffset val="100"/>
        <c:noMultiLvlLbl val="0"/>
      </c:catAx>
      <c:valAx>
        <c:axId val="715292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71429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Avaliações de Reações Adversas a Medicamentos quanto à gravidade - Fevereiro 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RAM quanto à gravidade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1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80352"/>
        <c:axId val="80181888"/>
      </c:barChart>
      <c:catAx>
        <c:axId val="8018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0181888"/>
        <c:crosses val="autoZero"/>
        <c:auto val="1"/>
        <c:lblAlgn val="ctr"/>
        <c:lblOffset val="100"/>
        <c:noMultiLvlLbl val="0"/>
      </c:catAx>
      <c:valAx>
        <c:axId val="801818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80180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Saídas Hospitalares </a:t>
            </a:r>
          </a:p>
          <a:p>
            <a:pPr>
              <a:defRPr/>
            </a:pPr>
            <a:r>
              <a:rPr lang="en-US" sz="1200" baseline="0"/>
              <a:t>Fevereiro 2021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259259259259259E-2"/>
          <c:y val="0.36463114440791961"/>
          <c:w val="0.93185185185185182"/>
          <c:h val="0.37528782203195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Internação Adulto </c:v>
                </c:pt>
                <c:pt idx="1">
                  <c:v>Internação Pediátrica </c:v>
                </c:pt>
                <c:pt idx="2">
                  <c:v>Total </c:v>
                </c:pt>
                <c:pt idx="3">
                  <c:v>Meta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229</c:v>
                </c:pt>
                <c:pt idx="1">
                  <c:v>44</c:v>
                </c:pt>
                <c:pt idx="2">
                  <c:v>273</c:v>
                </c:pt>
                <c:pt idx="3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063168"/>
        <c:axId val="61064704"/>
      </c:barChart>
      <c:catAx>
        <c:axId val="6106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61064704"/>
        <c:crosses val="autoZero"/>
        <c:auto val="1"/>
        <c:lblAlgn val="ctr"/>
        <c:lblOffset val="100"/>
        <c:noMultiLvlLbl val="0"/>
      </c:catAx>
      <c:valAx>
        <c:axId val="61064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1063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Hospital Dia</a:t>
            </a:r>
          </a:p>
          <a:p>
            <a:pPr>
              <a:defRPr/>
            </a:pPr>
            <a:r>
              <a:rPr lang="en-US" sz="1200" baseline="0"/>
              <a:t>Fevereiro 2021</a:t>
            </a:r>
            <a:endParaRPr lang="en-US" sz="1200"/>
          </a:p>
        </c:rich>
      </c:tx>
      <c:layout>
        <c:manualLayout>
          <c:xMode val="edge"/>
          <c:yMode val="edge"/>
          <c:x val="0.37331213160398746"/>
          <c:y val="7.206186053090668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149</c:v>
                </c:pt>
                <c:pt idx="1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393152"/>
        <c:axId val="61710336"/>
      </c:barChart>
      <c:catAx>
        <c:axId val="61393152"/>
        <c:scaling>
          <c:orientation val="minMax"/>
        </c:scaling>
        <c:delete val="0"/>
        <c:axPos val="b"/>
        <c:majorTickMark val="out"/>
        <c:minorTickMark val="none"/>
        <c:tickLblPos val="nextTo"/>
        <c:crossAx val="61710336"/>
        <c:crosses val="autoZero"/>
        <c:auto val="1"/>
        <c:lblAlgn val="ctr"/>
        <c:lblOffset val="100"/>
        <c:noMultiLvlLbl val="0"/>
      </c:catAx>
      <c:valAx>
        <c:axId val="61710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1393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SADT Externo</a:t>
            </a:r>
          </a:p>
          <a:p>
            <a:pPr>
              <a:defRPr/>
            </a:pPr>
            <a:r>
              <a:rPr lang="en-US" sz="1200" baseline="0"/>
              <a:t>Fevereiro 2021</a:t>
            </a:r>
            <a:endParaRPr lang="en-US" sz="1200"/>
          </a:p>
        </c:rich>
      </c:tx>
      <c:layout>
        <c:manualLayout>
          <c:xMode val="edge"/>
          <c:yMode val="edge"/>
          <c:x val="0.37655617551117382"/>
          <c:y val="4.81099656357388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Realizado (Radiografia)</c:v>
                </c:pt>
                <c:pt idx="1">
                  <c:v>Meta (Radiografia)</c:v>
                </c:pt>
                <c:pt idx="2">
                  <c:v>Realizado (Tomografia)</c:v>
                </c:pt>
                <c:pt idx="3">
                  <c:v>Meta (Tomografia)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308</c:v>
                </c:pt>
                <c:pt idx="1">
                  <c:v>140</c:v>
                </c:pt>
                <c:pt idx="2">
                  <c:v>141</c:v>
                </c:pt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17248"/>
        <c:axId val="68118784"/>
      </c:barChart>
      <c:catAx>
        <c:axId val="6811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68118784"/>
        <c:crosses val="autoZero"/>
        <c:auto val="1"/>
        <c:lblAlgn val="ctr"/>
        <c:lblOffset val="100"/>
        <c:noMultiLvlLbl val="0"/>
      </c:catAx>
      <c:valAx>
        <c:axId val="68118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1172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Atendimento Ambulatorial </a:t>
            </a:r>
          </a:p>
          <a:p>
            <a:pPr>
              <a:defRPr sz="1100"/>
            </a:pPr>
            <a:r>
              <a:rPr lang="en-US" sz="1100" baseline="0"/>
              <a:t>Fevereiro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Consultas Médicas </c:v>
                </c:pt>
                <c:pt idx="1">
                  <c:v>Consultas Não Médicas </c:v>
                </c:pt>
                <c:pt idx="2">
                  <c:v>Total </c:v>
                </c:pt>
                <c:pt idx="3">
                  <c:v>Meta Contratual 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2676</c:v>
                </c:pt>
                <c:pt idx="1">
                  <c:v>230</c:v>
                </c:pt>
                <c:pt idx="2" formatCode="#,##0">
                  <c:v>2906</c:v>
                </c:pt>
                <c:pt idx="3" formatCode="#,##0">
                  <c:v>1050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28768"/>
        <c:axId val="68130304"/>
      </c:barChart>
      <c:catAx>
        <c:axId val="6812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68130304"/>
        <c:crosses val="autoZero"/>
        <c:auto val="1"/>
        <c:lblAlgn val="ctr"/>
        <c:lblOffset val="100"/>
        <c:noMultiLvlLbl val="0"/>
      </c:catAx>
      <c:valAx>
        <c:axId val="6813030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68128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Taxa de Ocupação Hospitalar</a:t>
            </a:r>
          </a:p>
          <a:p>
            <a:pPr>
              <a:defRPr/>
            </a:pPr>
            <a:r>
              <a:rPr lang="en-US" sz="1100" baseline="0"/>
              <a:t>Fevereiro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Taxa de Ocupação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0.93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42688"/>
        <c:axId val="68644224"/>
      </c:barChart>
      <c:catAx>
        <c:axId val="6864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68644224"/>
        <c:crosses val="autoZero"/>
        <c:auto val="1"/>
        <c:lblAlgn val="ctr"/>
        <c:lblOffset val="100"/>
        <c:noMultiLvlLbl val="0"/>
      </c:catAx>
      <c:valAx>
        <c:axId val="686442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8642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Média de Permanência Hospitalar (em dias) -</a:t>
            </a:r>
          </a:p>
          <a:p>
            <a:pPr>
              <a:defRPr sz="1100"/>
            </a:pPr>
            <a:r>
              <a:rPr lang="en-US" sz="1100" baseline="0"/>
              <a:t>Fevereiro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Média de Permanência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75328"/>
        <c:axId val="69076864"/>
      </c:barChart>
      <c:catAx>
        <c:axId val="6907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69076864"/>
        <c:crosses val="autoZero"/>
        <c:auto val="1"/>
        <c:lblAlgn val="ctr"/>
        <c:lblOffset val="100"/>
        <c:noMultiLvlLbl val="0"/>
      </c:catAx>
      <c:valAx>
        <c:axId val="690768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907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Índice de Intervalo de Substituição de Leitos (em horas) - Fevereiro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IISL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28.5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93632"/>
        <c:axId val="69095424"/>
      </c:barChart>
      <c:catAx>
        <c:axId val="6909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69095424"/>
        <c:crosses val="autoZero"/>
        <c:auto val="1"/>
        <c:lblAlgn val="ctr"/>
        <c:lblOffset val="100"/>
        <c:noMultiLvlLbl val="0"/>
      </c:catAx>
      <c:valAx>
        <c:axId val="690954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69093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% Rejeições no SIH - </a:t>
            </a:r>
          </a:p>
          <a:p>
            <a:pPr>
              <a:defRPr/>
            </a:pPr>
            <a:r>
              <a:rPr lang="en-US" sz="1100" baseline="0"/>
              <a:t>Janeiro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 formatCode="0.00%">
                  <c:v>1.15E-2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410048"/>
        <c:axId val="71411584"/>
      </c:barChart>
      <c:catAx>
        <c:axId val="7141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71411584"/>
        <c:crosses val="autoZero"/>
        <c:auto val="1"/>
        <c:lblAlgn val="ctr"/>
        <c:lblOffset val="100"/>
        <c:noMultiLvlLbl val="0"/>
      </c:catAx>
      <c:valAx>
        <c:axId val="7141158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1410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0.18518</cdr:x>
      <cdr:y>0.53904</cdr:y>
    </cdr:from>
    <cdr:to>
      <cdr:x>0.22976</cdr:x>
      <cdr:y>0.65472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28321" y="883113"/>
          <a:ext cx="247556" cy="189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0.34444</cdr:x>
      <cdr:y>0.48691</cdr:y>
    </cdr:from>
    <cdr:to>
      <cdr:x>0.40889</cdr:x>
      <cdr:y>0.65969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76375" y="885825"/>
          <a:ext cx="2762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000"/>
            <a:t>44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6039-D18C-45D8-9D8B-ED3B6A33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16</Pages>
  <Words>2196</Words>
  <Characters>11864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camilacrac</cp:lastModifiedBy>
  <cp:revision>16</cp:revision>
  <cp:lastPrinted>2019-10-15T20:20:00Z</cp:lastPrinted>
  <dcterms:created xsi:type="dcterms:W3CDTF">2021-03-08T12:54:00Z</dcterms:created>
  <dcterms:modified xsi:type="dcterms:W3CDTF">2021-03-11T13:38:00Z</dcterms:modified>
</cp:coreProperties>
</file>