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0238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8240" behindDoc="1" locked="0" layoutInCell="1" hidden="0" allowOverlap="1" wp14:anchorId="6FFDC9B8" wp14:editId="763095B8">
            <wp:simplePos x="0" y="0"/>
            <wp:positionH relativeFrom="page">
              <wp:posOffset>306156</wp:posOffset>
            </wp:positionH>
            <wp:positionV relativeFrom="page">
              <wp:posOffset>0</wp:posOffset>
            </wp:positionV>
            <wp:extent cx="7249073" cy="10264408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9073" cy="1026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</w:rPr>
        <w:drawing>
          <wp:anchor distT="0" distB="0" distL="0" distR="0" simplePos="0" relativeHeight="251659264" behindDoc="1" locked="0" layoutInCell="1" hidden="0" allowOverlap="1" wp14:anchorId="40ECBA0A" wp14:editId="54A9F7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1DDCC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CAAE415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2FCB8CB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44A224F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B12ED04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01B94C3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D26BC4E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4212D068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411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66D1F7FA" w14:textId="77777777" w:rsidR="009E015A" w:rsidRDefault="00F87BA9">
      <w:pPr>
        <w:pStyle w:val="Ttulo"/>
        <w:ind w:firstLine="849"/>
      </w:pPr>
      <w:r>
        <w:t>RELATÓRIO GERENCIAL DE PRODUÇÃO</w:t>
      </w:r>
    </w:p>
    <w:p w14:paraId="202315A1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7D0172DD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Arial" w:eastAsia="Arial" w:hAnsi="Arial" w:cs="Arial"/>
          <w:b/>
          <w:bCs/>
          <w:color w:val="000000"/>
          <w:sz w:val="40"/>
          <w:szCs w:val="40"/>
        </w:rPr>
      </w:pPr>
    </w:p>
    <w:p w14:paraId="3BA07D06" w14:textId="77777777" w:rsidR="009E015A" w:rsidRDefault="00F87BA9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2034" w:right="1183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  <w:sectPr w:rsidR="009E015A">
          <w:headerReference w:type="default" r:id="rId9"/>
          <w:pgSz w:w="11910" w:h="16840"/>
          <w:pgMar w:top="1920" w:right="1700" w:bottom="280" w:left="992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Referente ao Contrato de Gestão Nº. 91/2012 e seus respectivos Termos Aditivos</w:t>
      </w:r>
    </w:p>
    <w:p w14:paraId="16E92906" w14:textId="36C26B33" w:rsidR="009E015A" w:rsidRDefault="00F87BA9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RELATÓRIO GERENCIAL DE PRODUÇÃO COMPETÊNCIA: </w:t>
      </w:r>
      <w:r w:rsidR="00A52D6D">
        <w:rPr>
          <w:rFonts w:ascii="Arial" w:eastAsia="Arial" w:hAnsi="Arial" w:cs="Arial"/>
          <w:b/>
          <w:bCs/>
          <w:sz w:val="24"/>
          <w:szCs w:val="24"/>
        </w:rPr>
        <w:t>MARÇO</w:t>
      </w:r>
      <w:r>
        <w:rPr>
          <w:rFonts w:ascii="Arial" w:eastAsia="Arial" w:hAnsi="Arial" w:cs="Arial"/>
          <w:b/>
          <w:bCs/>
          <w:sz w:val="24"/>
          <w:szCs w:val="24"/>
        </w:rPr>
        <w:t>/202</w:t>
      </w:r>
      <w:r w:rsidR="00F01560">
        <w:rPr>
          <w:rFonts w:ascii="Arial" w:eastAsia="Arial" w:hAnsi="Arial" w:cs="Arial"/>
          <w:b/>
          <w:bCs/>
          <w:sz w:val="24"/>
          <w:szCs w:val="24"/>
        </w:rPr>
        <w:t>6</w:t>
      </w:r>
    </w:p>
    <w:p w14:paraId="09D7767E" w14:textId="77777777" w:rsidR="009E015A" w:rsidRDefault="009E015A">
      <w:pPr>
        <w:spacing w:before="77"/>
        <w:ind w:left="2663" w:right="434" w:hanging="436"/>
        <w:rPr>
          <w:rFonts w:ascii="Arial" w:eastAsia="Arial" w:hAnsi="Arial" w:cs="Arial"/>
          <w:b/>
          <w:bCs/>
          <w:sz w:val="24"/>
          <w:szCs w:val="24"/>
        </w:rPr>
      </w:pPr>
    </w:p>
    <w:p w14:paraId="29E972CD" w14:textId="77777777" w:rsidR="009E015A" w:rsidRDefault="009E015A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DE8EAE2" w14:textId="77777777" w:rsidR="009E015A" w:rsidRDefault="009E015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2"/>
        <w:gridCol w:w="1272"/>
        <w:gridCol w:w="990"/>
        <w:gridCol w:w="1294"/>
      </w:tblGrid>
      <w:tr w:rsidR="00A52D6D" w:rsidRPr="00A52D6D" w14:paraId="26F150B6" w14:textId="77777777" w:rsidTr="00A52D6D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48B01A64" w14:textId="01C30452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Tabela 1. Comparativo de meta prevista e realizada – Saídas Hospitalares.</w:t>
            </w:r>
          </w:p>
        </w:tc>
      </w:tr>
      <w:tr w:rsidR="00A52D6D" w:rsidRPr="00A52D6D" w14:paraId="39C227DF" w14:textId="77777777" w:rsidTr="00A52D6D">
        <w:trPr>
          <w:trHeight w:val="765"/>
          <w:tblCellSpacing w:w="0" w:type="dxa"/>
        </w:trPr>
        <w:tc>
          <w:tcPr>
            <w:tcW w:w="3071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B21C8E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Saídas Hospitalares</w:t>
            </w:r>
          </w:p>
        </w:tc>
        <w:tc>
          <w:tcPr>
            <w:tcW w:w="69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E1D2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Contratado</w:t>
            </w:r>
          </w:p>
        </w:tc>
        <w:tc>
          <w:tcPr>
            <w:tcW w:w="537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7B5F2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Realizado</w:t>
            </w: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br/>
              <w:t>mar/25</w:t>
            </w:r>
          </w:p>
        </w:tc>
        <w:tc>
          <w:tcPr>
            <w:tcW w:w="699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FEC46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Eficácia</w:t>
            </w:r>
          </w:p>
        </w:tc>
      </w:tr>
      <w:tr w:rsidR="00A52D6D" w:rsidRPr="00A52D6D" w14:paraId="3B524449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0582C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Clínica Médica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378B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3E3B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42CAA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115%</w:t>
            </w:r>
          </w:p>
        </w:tc>
      </w:tr>
      <w:tr w:rsidR="00A52D6D" w:rsidRPr="00A52D6D" w14:paraId="6E681EC4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1265C8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Pediatria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78B8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F2E913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46E4B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117%</w:t>
            </w:r>
          </w:p>
        </w:tc>
      </w:tr>
      <w:tr w:rsidR="00A52D6D" w:rsidRPr="00A52D6D" w14:paraId="1730DB57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13838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9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868F4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537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17721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99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3D4A1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115%</w:t>
            </w:r>
          </w:p>
        </w:tc>
      </w:tr>
      <w:tr w:rsidR="00A52D6D" w:rsidRPr="00A52D6D" w14:paraId="1589A105" w14:textId="77777777" w:rsidTr="00A52D6D">
        <w:trPr>
          <w:trHeight w:val="255"/>
          <w:tblCellSpacing w:w="0" w:type="dxa"/>
        </w:trPr>
        <w:tc>
          <w:tcPr>
            <w:tcW w:w="307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B4A95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4915E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4EA6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69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1B35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52D6D" w:rsidRPr="00A52D6D" w14:paraId="214593CF" w14:textId="77777777" w:rsidTr="00A52D6D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66E60473" w14:textId="4742973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Tabela 2. Comparativo de meta prevista e realizada – Hospital Dia.</w:t>
            </w:r>
          </w:p>
        </w:tc>
      </w:tr>
      <w:tr w:rsidR="00A52D6D" w:rsidRPr="00A52D6D" w14:paraId="11D6F77C" w14:textId="77777777" w:rsidTr="00A52D6D">
        <w:trPr>
          <w:trHeight w:val="765"/>
          <w:tblCellSpacing w:w="0" w:type="dxa"/>
        </w:trPr>
        <w:tc>
          <w:tcPr>
            <w:tcW w:w="3071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4327C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Hospital Dia</w:t>
            </w:r>
          </w:p>
        </w:tc>
        <w:tc>
          <w:tcPr>
            <w:tcW w:w="69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18110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Contratado</w:t>
            </w:r>
          </w:p>
        </w:tc>
        <w:tc>
          <w:tcPr>
            <w:tcW w:w="537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016E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Realizado</w:t>
            </w: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br/>
              <w:t>mar/25</w:t>
            </w:r>
          </w:p>
        </w:tc>
        <w:tc>
          <w:tcPr>
            <w:tcW w:w="699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BB54B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Eficácia</w:t>
            </w:r>
          </w:p>
        </w:tc>
      </w:tr>
      <w:tr w:rsidR="00A52D6D" w:rsidRPr="00A52D6D" w14:paraId="18A98D43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0FF9F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Atendimentos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B841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DEBAD1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1D79D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99%</w:t>
            </w:r>
          </w:p>
        </w:tc>
      </w:tr>
      <w:tr w:rsidR="00A52D6D" w:rsidRPr="00A52D6D" w14:paraId="743E1F58" w14:textId="77777777" w:rsidTr="00A52D6D">
        <w:trPr>
          <w:trHeight w:val="255"/>
          <w:tblCellSpacing w:w="0" w:type="dxa"/>
        </w:trPr>
        <w:tc>
          <w:tcPr>
            <w:tcW w:w="307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CF40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B2663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62CF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69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6ED65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52D6D" w:rsidRPr="00C17EB4" w14:paraId="38F0CE4C" w14:textId="77777777" w:rsidTr="00A52D6D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5ADF05DD" w14:textId="3EDBDEC6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Tabela 3. Comparativo de meta prevista e realizada – Atendimento Ambulatorial.</w:t>
            </w:r>
          </w:p>
        </w:tc>
      </w:tr>
      <w:tr w:rsidR="00A52D6D" w:rsidRPr="00A52D6D" w14:paraId="3D05F64F" w14:textId="77777777" w:rsidTr="00A52D6D">
        <w:trPr>
          <w:trHeight w:val="765"/>
          <w:tblCellSpacing w:w="0" w:type="dxa"/>
        </w:trPr>
        <w:tc>
          <w:tcPr>
            <w:tcW w:w="3071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26F961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Atendimento Ambulatorial</w:t>
            </w:r>
          </w:p>
        </w:tc>
        <w:tc>
          <w:tcPr>
            <w:tcW w:w="69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39A175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Contratado</w:t>
            </w:r>
          </w:p>
        </w:tc>
        <w:tc>
          <w:tcPr>
            <w:tcW w:w="537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FE089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Realizado</w:t>
            </w: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br/>
              <w:t>mar/25</w:t>
            </w:r>
          </w:p>
        </w:tc>
        <w:tc>
          <w:tcPr>
            <w:tcW w:w="699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C9B7E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Eficácia</w:t>
            </w:r>
          </w:p>
        </w:tc>
      </w:tr>
      <w:tr w:rsidR="00A52D6D" w:rsidRPr="00A52D6D" w14:paraId="42968968" w14:textId="77777777" w:rsidTr="00586186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C6FDC2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Consultas médicas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1B2C5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3.020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9C15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2.894</w:t>
            </w:r>
          </w:p>
        </w:tc>
        <w:tc>
          <w:tcPr>
            <w:tcW w:w="69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AA7D52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sz w:val="20"/>
                <w:szCs w:val="20"/>
              </w:rPr>
              <w:t>96%</w:t>
            </w:r>
          </w:p>
        </w:tc>
      </w:tr>
      <w:tr w:rsidR="00A52D6D" w:rsidRPr="00A52D6D" w14:paraId="6F2C8F0C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233B9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Consultas não médicas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70AF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039C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5DE44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106%</w:t>
            </w:r>
          </w:p>
        </w:tc>
      </w:tr>
      <w:tr w:rsidR="00A52D6D" w:rsidRPr="00A52D6D" w14:paraId="1D53016F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78AFF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Pequenos Procedimentos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3E3F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C30F3" w14:textId="701E8329" w:rsidR="00A52D6D" w:rsidRPr="00A52D6D" w:rsidRDefault="00586186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99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ED1C9" w14:textId="576857F3" w:rsidR="00A52D6D" w:rsidRPr="00586186" w:rsidRDefault="00586186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>
              <w:rPr>
                <w:rFonts w:eastAsia="Arial"/>
                <w:b/>
                <w:bCs/>
                <w:color w:val="C00000"/>
                <w:sz w:val="20"/>
                <w:szCs w:val="20"/>
              </w:rPr>
              <w:t>47</w:t>
            </w:r>
            <w:r w:rsidR="00A52D6D" w:rsidRPr="00586186">
              <w:rPr>
                <w:rFonts w:eastAsia="Arial"/>
                <w:b/>
                <w:bCs/>
                <w:color w:val="C00000"/>
                <w:sz w:val="20"/>
                <w:szCs w:val="20"/>
              </w:rPr>
              <w:t>%</w:t>
            </w:r>
          </w:p>
        </w:tc>
      </w:tr>
      <w:tr w:rsidR="00A52D6D" w:rsidRPr="00586186" w14:paraId="057D200D" w14:textId="77777777" w:rsidTr="00586186">
        <w:trPr>
          <w:trHeight w:val="435"/>
          <w:tblCellSpacing w:w="0" w:type="dxa"/>
        </w:trPr>
        <w:tc>
          <w:tcPr>
            <w:tcW w:w="3071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ACB01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9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AAA5F" w14:textId="77777777" w:rsidR="00A52D6D" w:rsidRPr="00586186" w:rsidRDefault="00A52D6D" w:rsidP="005861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color w:val="000000"/>
                <w:sz w:val="20"/>
                <w:szCs w:val="20"/>
              </w:rPr>
              <w:t>4.050</w:t>
            </w:r>
          </w:p>
        </w:tc>
        <w:tc>
          <w:tcPr>
            <w:tcW w:w="537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348027" w14:textId="77777777" w:rsidR="00A52D6D" w:rsidRPr="00586186" w:rsidRDefault="00A52D6D" w:rsidP="005861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color w:val="000000"/>
                <w:sz w:val="20"/>
                <w:szCs w:val="20"/>
              </w:rPr>
              <w:t>3.693</w:t>
            </w:r>
          </w:p>
        </w:tc>
        <w:tc>
          <w:tcPr>
            <w:tcW w:w="699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254962" w14:textId="77777777" w:rsidR="00A52D6D" w:rsidRPr="00586186" w:rsidRDefault="00A52D6D" w:rsidP="005861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91%</w:t>
            </w:r>
          </w:p>
        </w:tc>
      </w:tr>
      <w:tr w:rsidR="00A52D6D" w:rsidRPr="00A52D6D" w14:paraId="24212D93" w14:textId="77777777" w:rsidTr="00A52D6D">
        <w:trPr>
          <w:trHeight w:val="255"/>
          <w:tblCellSpacing w:w="0" w:type="dxa"/>
        </w:trPr>
        <w:tc>
          <w:tcPr>
            <w:tcW w:w="307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35855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A084E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AF89B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69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7023F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52D6D" w:rsidRPr="00C17EB4" w14:paraId="1B9D788E" w14:textId="77777777" w:rsidTr="00A52D6D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18B61056" w14:textId="187A07CD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Tabela 5. Comparativo de meta prevista e realizada – SADT Externo.</w:t>
            </w:r>
          </w:p>
        </w:tc>
      </w:tr>
      <w:tr w:rsidR="00A52D6D" w:rsidRPr="00A52D6D" w14:paraId="7C3F54D9" w14:textId="77777777" w:rsidTr="00A52D6D">
        <w:trPr>
          <w:trHeight w:val="765"/>
          <w:tblCellSpacing w:w="0" w:type="dxa"/>
        </w:trPr>
        <w:tc>
          <w:tcPr>
            <w:tcW w:w="3071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2693BD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SADT Externo</w:t>
            </w:r>
          </w:p>
        </w:tc>
        <w:tc>
          <w:tcPr>
            <w:tcW w:w="69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E7D51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Contratado</w:t>
            </w:r>
          </w:p>
        </w:tc>
        <w:tc>
          <w:tcPr>
            <w:tcW w:w="537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EFA4A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Realizado</w:t>
            </w: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br/>
              <w:t>mar/25</w:t>
            </w:r>
          </w:p>
        </w:tc>
        <w:tc>
          <w:tcPr>
            <w:tcW w:w="699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8C5FA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Eficácia</w:t>
            </w:r>
          </w:p>
        </w:tc>
      </w:tr>
      <w:tr w:rsidR="00A52D6D" w:rsidRPr="00A52D6D" w14:paraId="35593F1D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70357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Análises clínicas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7F9D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64714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2.572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B1C4C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103%</w:t>
            </w:r>
          </w:p>
        </w:tc>
      </w:tr>
      <w:tr w:rsidR="00A52D6D" w:rsidRPr="00A52D6D" w14:paraId="6884F9AF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71B85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Broncoscopia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78AF1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7AB4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32FF9D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130%</w:t>
            </w:r>
          </w:p>
        </w:tc>
      </w:tr>
      <w:tr w:rsidR="00A52D6D" w:rsidRPr="00A52D6D" w14:paraId="17399866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6B8BA2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Colonoscopia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8B69E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7C13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99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D1FCB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C00000"/>
                <w:sz w:val="20"/>
                <w:szCs w:val="20"/>
              </w:rPr>
              <w:t>60%</w:t>
            </w:r>
          </w:p>
        </w:tc>
      </w:tr>
      <w:tr w:rsidR="00A52D6D" w:rsidRPr="00A52D6D" w14:paraId="222469D4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83907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Ecocardiografia transtorácica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08F5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3B2C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99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EFBF2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C00000"/>
                <w:sz w:val="20"/>
                <w:szCs w:val="20"/>
              </w:rPr>
              <w:t>60%</w:t>
            </w:r>
          </w:p>
        </w:tc>
      </w:tr>
      <w:tr w:rsidR="00A52D6D" w:rsidRPr="00A52D6D" w14:paraId="16974F60" w14:textId="77777777" w:rsidTr="00456812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CA79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Elastografia Hepática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6CAF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C1E6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872B5D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C00000"/>
                <w:sz w:val="20"/>
                <w:szCs w:val="20"/>
              </w:rPr>
              <w:t>0%</w:t>
            </w:r>
          </w:p>
        </w:tc>
      </w:tr>
      <w:tr w:rsidR="00A52D6D" w:rsidRPr="00A52D6D" w14:paraId="0920755A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CCDF62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lastRenderedPageBreak/>
              <w:t>Endoscopia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2845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B259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99" w:type="pct"/>
            <w:shd w:val="clear" w:color="auto" w:fill="F4CCC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ECECE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C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C00000"/>
                <w:sz w:val="20"/>
                <w:szCs w:val="20"/>
              </w:rPr>
              <w:t>49%</w:t>
            </w:r>
          </w:p>
        </w:tc>
      </w:tr>
      <w:tr w:rsidR="00A52D6D" w:rsidRPr="00A52D6D" w14:paraId="47BB7E33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2C03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Radiografia sem contraste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57CA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70F49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40FB6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134%</w:t>
            </w:r>
          </w:p>
        </w:tc>
      </w:tr>
      <w:tr w:rsidR="00A52D6D" w:rsidRPr="00A52D6D" w14:paraId="5C6C2E7C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5567F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Tomografia Computadorizada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43C8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6BACE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94295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  <w:tr w:rsidR="00A52D6D" w:rsidRPr="00A52D6D" w14:paraId="20039622" w14:textId="77777777" w:rsidTr="00586186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03B84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Ultrassonografia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8031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8C110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69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933FCF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808%</w:t>
            </w:r>
          </w:p>
        </w:tc>
      </w:tr>
      <w:tr w:rsidR="00A52D6D" w:rsidRPr="00A52D6D" w14:paraId="7C3C5F01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35717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690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0E4C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3.030</w:t>
            </w:r>
          </w:p>
        </w:tc>
        <w:tc>
          <w:tcPr>
            <w:tcW w:w="537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E595C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3.325</w:t>
            </w:r>
          </w:p>
        </w:tc>
        <w:tc>
          <w:tcPr>
            <w:tcW w:w="699" w:type="pct"/>
            <w:shd w:val="clear" w:color="auto" w:fill="C4E2A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F7170F" w14:textId="77777777" w:rsidR="00A52D6D" w:rsidRPr="00586186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586186">
              <w:rPr>
                <w:rFonts w:eastAsia="Arial"/>
                <w:b/>
                <w:bCs/>
                <w:color w:val="000000"/>
                <w:sz w:val="20"/>
                <w:szCs w:val="20"/>
              </w:rPr>
              <w:t>110%</w:t>
            </w:r>
          </w:p>
        </w:tc>
      </w:tr>
      <w:tr w:rsidR="00A52D6D" w:rsidRPr="00A52D6D" w14:paraId="23BAD910" w14:textId="77777777" w:rsidTr="00A52D6D">
        <w:trPr>
          <w:trHeight w:val="255"/>
          <w:tblCellSpacing w:w="0" w:type="dxa"/>
        </w:trPr>
        <w:tc>
          <w:tcPr>
            <w:tcW w:w="3071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15B149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0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3F042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31489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699" w:type="pc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BAB4E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A52D6D" w:rsidRPr="00C17EB4" w14:paraId="7CC41149" w14:textId="77777777" w:rsidTr="00A52D6D">
        <w:trPr>
          <w:trHeight w:val="435"/>
          <w:tblCellSpacing w:w="0" w:type="dxa"/>
        </w:trPr>
        <w:tc>
          <w:tcPr>
            <w:tcW w:w="5000" w:type="pct"/>
            <w:gridSpan w:val="4"/>
            <w:vAlign w:val="center"/>
            <w:hideMark/>
          </w:tcPr>
          <w:p w14:paraId="075C58B7" w14:textId="70CC46B9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Tabela 6. Comparativo de meta prevista e realizada – Indicadores de Desempenho.</w:t>
            </w:r>
          </w:p>
        </w:tc>
      </w:tr>
      <w:tr w:rsidR="00A52D6D" w:rsidRPr="00A52D6D" w14:paraId="6E9CB652" w14:textId="77777777" w:rsidTr="00A52D6D">
        <w:trPr>
          <w:trHeight w:val="765"/>
          <w:tblCellSpacing w:w="0" w:type="dxa"/>
        </w:trPr>
        <w:tc>
          <w:tcPr>
            <w:tcW w:w="3071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80F30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Indicadores de Desempenho</w:t>
            </w:r>
          </w:p>
        </w:tc>
        <w:tc>
          <w:tcPr>
            <w:tcW w:w="690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CB6D0B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Contratado</w:t>
            </w:r>
          </w:p>
        </w:tc>
        <w:tc>
          <w:tcPr>
            <w:tcW w:w="537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3A400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Realizado</w:t>
            </w: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br/>
              <w:t>mar/25</w:t>
            </w:r>
          </w:p>
        </w:tc>
        <w:tc>
          <w:tcPr>
            <w:tcW w:w="699" w:type="pct"/>
            <w:shd w:val="clear" w:color="auto" w:fill="8BC34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73D70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Eficácia</w:t>
            </w:r>
          </w:p>
        </w:tc>
      </w:tr>
      <w:tr w:rsidR="00A52D6D" w:rsidRPr="00A52D6D" w14:paraId="16639404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B5BC8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Taxa de Ocupação (%)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CC20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2E36F3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EDCA5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106%</w:t>
            </w:r>
          </w:p>
        </w:tc>
      </w:tr>
      <w:tr w:rsidR="00A52D6D" w:rsidRPr="00A52D6D" w14:paraId="6EC8A781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20A6A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Média de permanência hospitalar (dias)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C6376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96276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32ED5B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113%</w:t>
            </w:r>
          </w:p>
        </w:tc>
      </w:tr>
      <w:tr w:rsidR="00A52D6D" w:rsidRPr="00A52D6D" w14:paraId="0BDB91E5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EF74D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Índice de intervalo de substituição de leitos (horas)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F20D20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F77E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72ECE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141%</w:t>
            </w:r>
          </w:p>
        </w:tc>
      </w:tr>
      <w:tr w:rsidR="00A52D6D" w:rsidRPr="00A52D6D" w14:paraId="5E1016D8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8B7D1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Taxa de readmissão hospitalar (29 dias)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307431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8%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92C0C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1,29%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AE42B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184%</w:t>
            </w:r>
          </w:p>
        </w:tc>
      </w:tr>
      <w:tr w:rsidR="00A52D6D" w:rsidRPr="00A52D6D" w14:paraId="4B80E69F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49326A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Taxa de readmissão em UTI (48 horas)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1FCD18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5%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D7DE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1,7%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04E2E2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166%</w:t>
            </w:r>
          </w:p>
        </w:tc>
      </w:tr>
      <w:tr w:rsidR="00A52D6D" w:rsidRPr="00A52D6D" w14:paraId="35828B45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C389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Percentual de ocorrência de rejeições no SIH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459CA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7%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2444F" w14:textId="4B55FB21" w:rsidR="00A52D6D" w:rsidRPr="00A52D6D" w:rsidRDefault="00456812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3697B" w14:textId="3C900CD0" w:rsidR="00A52D6D" w:rsidRPr="00456812" w:rsidRDefault="00456812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A52D6D" w:rsidRPr="00A52D6D" w14:paraId="5024126D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5AC02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Razão do quantitativo de Consultas Ofertadas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4AFAD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9316B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AC0D2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128%</w:t>
            </w:r>
          </w:p>
        </w:tc>
      </w:tr>
      <w:tr w:rsidR="00A52D6D" w:rsidRPr="00A52D6D" w14:paraId="0318F8B2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3CD25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Percentual de Exames de Imagem com resultado disponibilizado em até 10 dias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1CD5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C8CCF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29A5E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143%</w:t>
            </w:r>
          </w:p>
        </w:tc>
      </w:tr>
      <w:tr w:rsidR="00A52D6D" w:rsidRPr="00A52D6D" w14:paraId="755AE0DC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09718B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Percentual de Casos de Doenças / Agravos / Eventos de Notificação Compulsório Imediata (DAEI) Digitadas Oportunamente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55DA22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722AD3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E1AA9C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125%</w:t>
            </w:r>
          </w:p>
        </w:tc>
      </w:tr>
      <w:tr w:rsidR="00A52D6D" w:rsidRPr="00A52D6D" w14:paraId="03985A24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714EFC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Percentual de Casos de Doenças / Agravos / Eventos de Notificação Compulsório Imediata (DAEI) Investigadas Oportunamente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FE52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1536E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0A9F92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125%</w:t>
            </w:r>
          </w:p>
        </w:tc>
      </w:tr>
      <w:tr w:rsidR="00A52D6D" w:rsidRPr="00A52D6D" w14:paraId="143064C5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6D01A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Percentual de perda de medicamentos por prazo de validade expirado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2A31B1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1%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95BB8B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0,50%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8995C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150%</w:t>
            </w:r>
          </w:p>
        </w:tc>
      </w:tr>
      <w:tr w:rsidR="00A52D6D" w:rsidRPr="00A52D6D" w14:paraId="4E9707DB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6A745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Taxa de acurácia do estoque</w:t>
            </w:r>
          </w:p>
        </w:tc>
        <w:tc>
          <w:tcPr>
            <w:tcW w:w="690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BC367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95%</w:t>
            </w:r>
          </w:p>
        </w:tc>
        <w:tc>
          <w:tcPr>
            <w:tcW w:w="537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C82E7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96%</w:t>
            </w:r>
          </w:p>
        </w:tc>
        <w:tc>
          <w:tcPr>
            <w:tcW w:w="699" w:type="pct"/>
            <w:shd w:val="clear" w:color="auto" w:fill="EEF7E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BB6F7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102%</w:t>
            </w:r>
          </w:p>
        </w:tc>
      </w:tr>
      <w:tr w:rsidR="00A52D6D" w:rsidRPr="00A52D6D" w14:paraId="191142D3" w14:textId="77777777" w:rsidTr="00A52D6D">
        <w:trPr>
          <w:trHeight w:val="435"/>
          <w:tblCellSpacing w:w="0" w:type="dxa"/>
        </w:trPr>
        <w:tc>
          <w:tcPr>
            <w:tcW w:w="3071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154C81" w14:textId="77777777" w:rsidR="00A52D6D" w:rsidRPr="00A52D6D" w:rsidRDefault="00A52D6D" w:rsidP="00A52D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b/>
                <w:bCs/>
                <w:color w:val="000000"/>
                <w:sz w:val="20"/>
                <w:szCs w:val="20"/>
              </w:rPr>
              <w:t>Taxa de aceitabilidade das intervenções farmacêuticas</w:t>
            </w:r>
          </w:p>
        </w:tc>
        <w:tc>
          <w:tcPr>
            <w:tcW w:w="690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4B294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85%</w:t>
            </w:r>
          </w:p>
        </w:tc>
        <w:tc>
          <w:tcPr>
            <w:tcW w:w="537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FA5D9" w14:textId="77777777" w:rsidR="00A52D6D" w:rsidRPr="00A52D6D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A52D6D">
              <w:rPr>
                <w:rFonts w:eastAsia="Arial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699" w:type="pct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8A41F5" w14:textId="77777777" w:rsidR="00A52D6D" w:rsidRPr="00456812" w:rsidRDefault="00A52D6D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 w:rsidRPr="00456812">
              <w:rPr>
                <w:rFonts w:eastAsia="Arial"/>
                <w:b/>
                <w:bCs/>
                <w:color w:val="000000"/>
                <w:sz w:val="20"/>
                <w:szCs w:val="20"/>
              </w:rPr>
              <w:t>118%</w:t>
            </w:r>
          </w:p>
        </w:tc>
      </w:tr>
    </w:tbl>
    <w:p w14:paraId="221D36E7" w14:textId="2EA55CDC" w:rsidR="009E015A" w:rsidRPr="00456812" w:rsidRDefault="00456812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Arial" w:eastAsia="Arial" w:hAnsi="Arial" w:cs="Arial"/>
          <w:sz w:val="14"/>
          <w:szCs w:val="14"/>
        </w:rPr>
      </w:pPr>
      <w:r w:rsidRPr="00456812">
        <w:rPr>
          <w:rFonts w:ascii="Arial" w:eastAsia="Arial" w:hAnsi="Arial" w:cs="Arial"/>
          <w:sz w:val="14"/>
          <w:szCs w:val="14"/>
        </w:rPr>
        <w:t>* O dado é obtido em dois meses subsequentes.</w:t>
      </w:r>
    </w:p>
    <w:tbl>
      <w:tblPr>
        <w:tblW w:w="8784" w:type="dxa"/>
        <w:jc w:val="center"/>
        <w:tblCellSpacing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971"/>
      </w:tblGrid>
      <w:tr w:rsidR="00C17EB4" w:rsidRPr="00A52D6D" w14:paraId="6B7B5082" w14:textId="77777777" w:rsidTr="00C17EB4">
        <w:trPr>
          <w:trHeight w:val="288"/>
          <w:tblCellSpacing w:w="0" w:type="dxa"/>
          <w:jc w:val="center"/>
        </w:trPr>
        <w:tc>
          <w:tcPr>
            <w:tcW w:w="0" w:type="auto"/>
          </w:tcPr>
          <w:p w14:paraId="7B440F70" w14:textId="77777777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97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96A2F" w14:textId="771BA98A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  <w:r w:rsidRPr="00A52D6D">
              <w:rPr>
                <w:rFonts w:eastAsia="Arial"/>
                <w:sz w:val="20"/>
                <w:szCs w:val="20"/>
              </w:rPr>
              <w:t>Data: 10/04/2026</w:t>
            </w:r>
          </w:p>
        </w:tc>
      </w:tr>
      <w:tr w:rsidR="00C17EB4" w:rsidRPr="00A52D6D" w14:paraId="13350D1C" w14:textId="77777777" w:rsidTr="00C17EB4">
        <w:trPr>
          <w:trHeight w:val="288"/>
          <w:tblCellSpacing w:w="0" w:type="dxa"/>
          <w:jc w:val="center"/>
        </w:trPr>
        <w:tc>
          <w:tcPr>
            <w:tcW w:w="0" w:type="auto"/>
          </w:tcPr>
          <w:p w14:paraId="38A5CEA3" w14:textId="77777777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97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F50E5E" w14:textId="77777777" w:rsidR="00C17EB4" w:rsidRPr="00A52D6D" w:rsidRDefault="00C17EB4" w:rsidP="006D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right"/>
              <w:rPr>
                <w:rFonts w:eastAsia="Arial"/>
                <w:sz w:val="20"/>
                <w:szCs w:val="20"/>
              </w:rPr>
            </w:pPr>
          </w:p>
        </w:tc>
      </w:tr>
      <w:tr w:rsidR="00C17EB4" w:rsidRPr="006D7C7C" w14:paraId="630B6F5D" w14:textId="77777777" w:rsidTr="00C17EB4">
        <w:trPr>
          <w:trHeight w:val="1502"/>
          <w:tblCellSpacing w:w="0" w:type="dxa"/>
          <w:jc w:val="center"/>
        </w:trPr>
        <w:tc>
          <w:tcPr>
            <w:tcW w:w="0" w:type="auto"/>
            <w:vAlign w:val="bottom"/>
          </w:tcPr>
          <w:p w14:paraId="156D9708" w14:textId="5AE77FC4" w:rsidR="00C17EB4" w:rsidRPr="006D7C7C" w:rsidRDefault="00C17EB4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Dra</w:t>
            </w:r>
            <w:proofErr w:type="spellEnd"/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Thais Lopes Safatle Dourado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  <w:t>Diretora Técnica - HDT/ISG</w:t>
            </w:r>
          </w:p>
        </w:tc>
        <w:tc>
          <w:tcPr>
            <w:tcW w:w="497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C7758" w14:textId="6CF74BC9" w:rsidR="00C17EB4" w:rsidRPr="006D7C7C" w:rsidRDefault="00C17EB4" w:rsidP="00C17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D7C7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Daniela Honorato da Silva Guimarães</w:t>
            </w:r>
            <w:r w:rsidRPr="006D7C7C">
              <w:rPr>
                <w:rFonts w:ascii="Arial" w:eastAsia="Arial" w:hAnsi="Arial" w:cs="Arial"/>
                <w:sz w:val="20"/>
                <w:szCs w:val="20"/>
              </w:rPr>
              <w:br/>
              <w:t>Diretora Executiva - HDT/ISG</w:t>
            </w:r>
          </w:p>
        </w:tc>
      </w:tr>
    </w:tbl>
    <w:p w14:paraId="1C15161B" w14:textId="77777777" w:rsidR="009E015A" w:rsidRDefault="009E015A" w:rsidP="00C17EB4">
      <w:pPr>
        <w:spacing w:before="93"/>
        <w:rPr>
          <w:rFonts w:ascii="Arial" w:eastAsia="Arial" w:hAnsi="Arial" w:cs="Arial"/>
          <w:sz w:val="18"/>
          <w:szCs w:val="18"/>
        </w:rPr>
      </w:pPr>
    </w:p>
    <w:sectPr w:rsidR="009E015A">
      <w:pgSz w:w="11910" w:h="16840"/>
      <w:pgMar w:top="1840" w:right="1700" w:bottom="187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7F100" w14:textId="77777777" w:rsidR="005815BA" w:rsidRDefault="005815BA">
      <w:r>
        <w:separator/>
      </w:r>
    </w:p>
  </w:endnote>
  <w:endnote w:type="continuationSeparator" w:id="0">
    <w:p w14:paraId="50A52643" w14:textId="77777777" w:rsidR="005815BA" w:rsidRDefault="0058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D9F63A-CDA3-4C87-9BBF-2ECC7A76E505}"/>
    <w:embedBold r:id="rId2" w:fontKey="{3A4BDCA6-CFA2-483A-B7FC-2DCCAA9AC1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6BF670-EF08-474B-A9D2-9A407AEBB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E35DD4-F35B-4D8F-84D6-453BD1E06B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7E528" w14:textId="77777777" w:rsidR="005815BA" w:rsidRDefault="005815BA">
      <w:r>
        <w:separator/>
      </w:r>
    </w:p>
  </w:footnote>
  <w:footnote w:type="continuationSeparator" w:id="0">
    <w:p w14:paraId="77DD0885" w14:textId="77777777" w:rsidR="005815BA" w:rsidRDefault="00581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89F58" w14:textId="77777777" w:rsidR="009E015A" w:rsidRDefault="00F87BA9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4DD84E" wp14:editId="1D7008B2">
          <wp:simplePos x="0" y="0"/>
          <wp:positionH relativeFrom="column">
            <wp:posOffset>-572769</wp:posOffset>
          </wp:positionH>
          <wp:positionV relativeFrom="paragraph">
            <wp:posOffset>-342899</wp:posOffset>
          </wp:positionV>
          <wp:extent cx="7468870" cy="10570762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8870" cy="10570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5A"/>
    <w:rsid w:val="001E43CA"/>
    <w:rsid w:val="00456812"/>
    <w:rsid w:val="005714BA"/>
    <w:rsid w:val="005815BA"/>
    <w:rsid w:val="00586186"/>
    <w:rsid w:val="006D7C7C"/>
    <w:rsid w:val="0090216E"/>
    <w:rsid w:val="00935B45"/>
    <w:rsid w:val="009C136B"/>
    <w:rsid w:val="009C5054"/>
    <w:rsid w:val="009D20EE"/>
    <w:rsid w:val="009E015A"/>
    <w:rsid w:val="00A13EEC"/>
    <w:rsid w:val="00A52D6D"/>
    <w:rsid w:val="00A6723F"/>
    <w:rsid w:val="00A74AD9"/>
    <w:rsid w:val="00B42F00"/>
    <w:rsid w:val="00C17EB4"/>
    <w:rsid w:val="00DA1754"/>
    <w:rsid w:val="00E32FCC"/>
    <w:rsid w:val="00E7750C"/>
    <w:rsid w:val="00F01560"/>
    <w:rsid w:val="00F87BA9"/>
    <w:rsid w:val="00F9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77B2"/>
  <w15:docId w15:val="{CF402681-6E4B-4952-BA14-117B26EA3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49"/>
      <w:jc w:val="center"/>
    </w:pPr>
    <w:rPr>
      <w:rFonts w:ascii="Arial" w:eastAsia="Arial" w:hAnsi="Arial" w:cs="Arial"/>
      <w:b/>
      <w:bCs/>
      <w:sz w:val="40"/>
      <w:szCs w:val="40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3"/>
      <w:ind w:left="45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DewdAn7wcgx9c5eu14p57dphg==">CgMxLjAaHwoBMBIaChgICVIUChJ0YWJsZS56Z2E1d3V0MnA5ODE4AHIhMWZZaFd0S0VDUV81bkJxN25CNlh2YjYtNUFpRW1BWHpS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394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Nathalya Mosonowa Souza</cp:lastModifiedBy>
  <cp:revision>7</cp:revision>
  <cp:lastPrinted>2026-04-12T12:49:00Z</cp:lastPrinted>
  <dcterms:created xsi:type="dcterms:W3CDTF">2026-03-10T20:33:00Z</dcterms:created>
  <dcterms:modified xsi:type="dcterms:W3CDTF">2026-04-12T13:08:00Z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2025-10-15T00:00:00Z</vt:filetime>
  </property>
  <property fmtid="{D5CDD505-2E9C-101B-9397-08002B2CF9AE}" pid="5" name="Producer">
    <vt:lpwstr>䵩捲潳潦璮⁗潲搠㈰㈱㬠浯摩晩敤⁵獩湧⁩呥硴卨慲瀮䱇偌瘲⹃潲攠㌮㜮㈮　</vt:lpwstr>
  </property>
</Properties>
</file>